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PE.2003.0269 vom 23. September 2003</w:t>
      </w:r>
    </w:p>
    <w:p>
      <w:r>
        <w:t>VD Tribunal cantonal, 2003-09-23, FR</w:t>
      </w:r>
    </w:p>
    <w:p>
      <w:r>
        <w:rPr>
          <w:b/>
        </w:rPr>
        <w:t xml:space="preserve">Quelle: </w:t>
      </w:r>
      <w:r>
        <w:t>https://mcp.opencaselaw.ch/entscheid/vd_omni_PE.2003.0269</w:t>
      </w:r>
    </w:p>
    <w:p>
      <w:r>
        <w:t>FR: VD_OMNI PE.2003.0269 du 23 septembre 2003</w:t>
      </w:r>
    </w:p>
    <w:p>
      <w:r>
        <w:t>IT: VD_OMNI PE.2003.0269 del 23 settembre 2003</w:t>
      </w:r>
    </w:p>
    <w:p>
      <w:pPr>
        <w:pStyle w:val="Heading2"/>
      </w:pPr>
      <w:r>
        <w:t>Regeste</w:t>
      </w:r>
    </w:p>
    <w:p>
      <w:r>
        <w:t>c/SPOP | Recours rejeté au motif que les faits nouveaux allégués par le recourant en vue du réexamen de sa situation ne sont pas pertinents. En effet, les autorisations d'établissement sont exclusivement régies par la LSEE, l'ALCP ne règlant que les autorisations de séjour CE/AELE.</w:t>
      </w:r>
    </w:p>
    <w:p>
      <w:pPr>
        <w:pStyle w:val="Heading2"/>
      </w:pPr>
      <w:r>
        <w:t>Erwägungen</w:t>
      </w:r>
    </w:p>
    <w:p>
      <w:r>
        <w:rPr>
          <w:b/>
        </w:rPr>
        <w:t>E. 31</w:t>
      </w:r>
    </w:p>
    <w:p>
      <w:r>
        <w:t>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Dans le cas présent, on relèvera tout d'abord que la demande présentée par X.________ auprès du SPOP le 9 mai 2003 constituait en réalité une demande de réexamen de la décision du SPOP du 6 novembre 2000. L'autorité intimé, même si elle ne l'a pas formellement traitée comme telle, a néanmoins accepté tacitement d'entrer en matière tout en refusant, sur le fond, de modifier sa première décision. C'est donc à la lumière des principes relatifs au réexamen que le présent litige doit être examiné. A cet égard, le recourant invoque deux nouveaux éléments, respectivement de droit et de fait, pour justifier sa requête. Tout d'abord, il mentionne l'entrée en vigueur le 1er juin 2002 de l'accord entre la Communauté européenne et ses Etats membres, d'une part, et la Confédération suisse, d'autre part, sur la libre circulation des personnes conclu le 21 juin 1999 (ci-après : ALCP; RSV 0.142.112.681), lequel a entraîné le renouvellement de son autorisation de séjour jusqu'au 10 septembre 2007; il se réfère ensuite à la constatation par l'OFE (actuellement IMES) du fait que son séjour en Suisse devait être considéré comme régulier et ininterrompu (notamment pour les années 1997 à 2000).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6.                     a) En l'occurrence, l'entrée en vigueur de l'ALCP le 1er juin 2002 représente un nouvel élément de droit, qui a conduit l'autorité intimée à accepter d'entrer en matière sur la demande de réexamen du recourant. Toutefois, la législation précitée ne contient aucune disposition concernant l'octroi d'une autorisation d'établissement CE/AELE; elle ne régit que les autorisations de séjour CE/AELE. A ce titre, elle prévoit que le travailleur salarié ressortissant d'une partie contractante qui occupe un emploi d'une durée égale ou supérieure à un an au service d'un employeur de l'Etat d'accueil reçoit un titre de séjour d'une durée de cinq ans (art. 6 al. 1 Annexe I ALCP). Ainsi, les dispositions de la LSEE, les traités et accords internationaux d'établissement restent-ils applicables, comme ils l'étaient jusqu'à l'entrée en vigueur de l'ALCP (Directives OLCP, ch. 7.1). Cela étant, force est de constater que le nouvel élément invoqué par le recourant, soit l'entrée en vigueur de l'ALCP le 1er juin 2002 et l'obtention d'un permis b CE/AELE valable jusqu'au 10 septembre 2007, n'est pas pertinent au sens précité (consid. 5 b) puisque les dispositions régissant sa situation personnelle n'ont en rien été modifiées depuis le jugement définitif et exécutoire rendu par le tribunal de céans le 31 mai 2001 (TA PE 2000/0583). En d'autres termes, la modification légale précitée n'est pas de nature à entraîner une décision plus favorable en faveur du recourant et c'est donc à juste titre que le SPOP a rejeté la demande de réexamen présentée par X.________. b) Quant à la prétendue constatation de l'IMES, selon laquelle le séjour du recourant dans notre pays serait régulier et ininterrompu, on ne voit pas en quoi elle serait de nature à modifier l'état de fait sur la base duquel la décision du 6 novembre 2000 a été rendue. Le recourant n'allègue ni n'établit d'ailleurs rien à ce sujet, se limitant à soutenir que le motif pris de l'existence d'un séjour qui ne serait pas régulier de 1997 à 2000 ne pourrait lui être opposé. Or, on rappellera à cet égard que les motifs soulevés par l'autorité intimée dans sa première décision pour refuser la délivrance d'une autorisation d'établissement (cf. ch. 1 de la décision) sont fondés sur d'autres griefs (notamment l'existence d'en procédure pénale dirigée contre l'intéressé), qui sont encore pleinement valables, puisque la procédure pénale dirigée contre le recourant est toujours pendante. Ils le sont même d'autant plus que X.________ est aujourd'hui formellement accusé d'escroquerie, d'abus de confiance, de faux dans les titres et d'infraction à la loi fédérale sur l'acquisition d'immeubles par des personnes à l'étranger (cf. ordonnance pénale du 28 avril 2003). Cela étant, ici aussi, le fait nouveau allégué ne saurait être pris en considération et c'est dès lors à bon droit que le SPOP a rejeté la requête litigieuse. 7.                     En conclusion, la décision attaquée est pleinement conforme à la loi et ne relève par ailleurs ni d'un abus ni d'un excès du pouvoir d'appréciation. Le recours doit par conséquent être rejeté et la décision entreprise confirmée. Le présent jugement est rendu en application de l'art. 35a LJPA, à teneur duquel un recours apparaissant manifestement mal fondé sera rejeté dans les meilleurs délais par un arrêt sommairement motivé, rendu sans autre mesure d'instruction que la production du dossier. Vu l'issue du pourvoi, les frais du présent arrêt seront mis à la charge de l'intéressé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