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PE.2003.0240 vom 4. November 2003</w:t>
      </w:r>
    </w:p>
    <w:p>
      <w:r>
        <w:t>VD Tribunal cantonal, 2003-11-04, FR</w:t>
      </w:r>
    </w:p>
    <w:p>
      <w:r>
        <w:rPr>
          <w:b/>
        </w:rPr>
        <w:t xml:space="preserve">Quelle: </w:t>
      </w:r>
      <w:r>
        <w:t>https://mcp.opencaselaw.ch/entscheid/vd_omni_PE.2003.0240</w:t>
      </w:r>
    </w:p>
    <w:p>
      <w:r>
        <w:t>FR: VD_OMNI PE.2003.0240 du 4 novembre 2003</w:t>
      </w:r>
    </w:p>
    <w:p>
      <w:r>
        <w:t>IT: VD_OMNI PE.2003.0240 del 4 novembre 2003</w:t>
      </w:r>
    </w:p>
    <w:p>
      <w:pPr>
        <w:pStyle w:val="Heading2"/>
      </w:pPr>
      <w:r>
        <w:t>Regeste</w:t>
      </w:r>
    </w:p>
    <w:p>
      <w:r>
        <w:t>c/OCMP | Confirmation d'une décision de l'OCMP refusant d'entrer en matière pour une durée de 6 mois sur toute démarche de main-d'oeuvre étrangère du fait que l'employeur a continué à employer un cuisinier polonais malgré une décision négative. Etat de récidive, l'établissement concerné ayant déjà fait l'objet d'une sommation pour des faits similaires.</w:t>
      </w:r>
    </w:p>
    <w:p>
      <w:pPr>
        <w:pStyle w:val="Heading2"/>
      </w:pPr>
      <w:r>
        <w:t>Erwägungen</w:t>
      </w:r>
    </w:p>
    <w:p>
      <w:r>
        <w:rPr>
          <w:b/>
        </w:rPr>
        <w:t>E. 1</w:t>
      </w:r>
    </w:p>
    <w:p>
      <w:r>
        <w:t>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2.                     Faute pour la LSEE d'étendre le pouvoir d'examen de l'autorité de recours à l'opportunité, le Tribunal administratif n'exerce qu'un contrôle en légalité, c'est-à-dire qu'il examine si la décision entreprise est contraire à une disposition légale ou réglementaire expresse ou relève d'un excès ou d'un abus du pouvoir d'appréciation (art. 36 lit.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3.                     Aux termes de l'art. 1a LSEE, tout étranger a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En l'espèce, il ressort clairement du dossier que Z.________ a séjourné en Suisse et oeuvré pour le compte de l'établissement Y.________ sans aucune autorisation. Par conséquent, l'établissement en cause a bien enfreint l'art. 3 al. 3 LSEE. 4.                     Indépendamment de la sanction pénale, prévue par l'art. 23 al. 4 LSEE, l'employeur s'expose à une sanction administrative, soit en l'occurrence celle aménagée par l'art. 55 OLE, dont les al. 1 et 2 ont la teneur suivante : "1. Si un employeur enfreint à plusieurs reprises ou gravement les prescriptions du droit des étrangers, l'Office cantonal de l'emploi rejettera totalement ou partiellement ses demandes, indépendamment de la procédure pénale.</w:t>
      </w:r>
    </w:p>
    <w:p>
      <w:r>
        <w:rPr>
          <w:b/>
        </w:rPr>
        <w:t>E. 2</w:t>
      </w:r>
    </w:p>
    <w:p>
      <w:r>
        <w:t>L'Office cantonal de l'emploi peut également mettre en garde le contrevenant par sommation écrite, sous menace d'application des sanctions". Selon les Directives et Commentaires publiés par l'Office fédéral de l'immigration, de l'intégration et de l'émigration, les sanctions doivent varier selon la gravité de l'infraction et les circonstances .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au moins long selon les cas (3,6,12 mois). Dans le cas particulier, l'établissement Y.________ a enfreint gravement les prescriptions applicables. En effet, il a continué à employer Z.________ après réception de la décision de refus d'engagement de l'OCMP du 14 mars 2003. Si cet étranger n'avait pas été impliqué dans un accident de circulation, il aurait assurément poursuivi son séjour et son travail illégaux. En outre, c'est à tort que X.________ conteste l'état de récidive. Les sanctions de l'art. 55 OLE visent les entreprises en tant que telles et non pas les personnes qui les dirigent. En reprenant la direction de l'établissement, l'intéressé, dans le cadre de la politique du personnel, devait se renseigner sur les éventuelles mesures administratives antérieures et adapter sa gestion en conséquence. Or, il est établi que l'OCMP a dû intervenir à plusieurs reprises à l'encontre de l'établissement Y.________ ces dernières années. Compte tenu de la récidive et de la gravité des erreurs commises, la quotité de la sanction, qui s'inscrit dans la moyenne de celles prévues, n'est pas disproportionnée. L'autorité intimée n'a pas abusé de son pouvoir d'appréciation et la décision querellée doit être maintenue. Le recours sera en conséquence rejeté. Vu le sort du recours, l'émolument doit être mis à la charge du recourant. Arrêté à 500 fr., il est compensé par l'avance de frais opérée.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