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PE.2003.0239 vom 2. September 2003</w:t>
      </w:r>
    </w:p>
    <w:p>
      <w:r>
        <w:t>VD Tribunal cantonal, 2003-09-02, FR</w:t>
      </w:r>
    </w:p>
    <w:p>
      <w:r>
        <w:rPr>
          <w:b/>
        </w:rPr>
        <w:t xml:space="preserve">Quelle: </w:t>
      </w:r>
      <w:r>
        <w:t>https://mcp.opencaselaw.ch/entscheid/vd_omni_PE.2003.0239</w:t>
      </w:r>
    </w:p>
    <w:p>
      <w:r>
        <w:t>FR: VD_OMNI PE.2003.0239 du 2 septembre 2003</w:t>
      </w:r>
    </w:p>
    <w:p>
      <w:r>
        <w:t>IT: VD_OMNI PE.2003.0239 del 2 settembre 2003</w:t>
      </w:r>
    </w:p>
    <w:p>
      <w:pPr>
        <w:pStyle w:val="Heading2"/>
      </w:pPr>
      <w:r>
        <w:t>Regeste</w:t>
      </w:r>
    </w:p>
    <w:p>
      <w:r>
        <w:t>c/SPOP | Recours rejeté au motif que le recourant n'invoque aucun fait nouveau, pertinent et inconnu de lui lors de la première procédure (PE 2002/0410)</w:t>
      </w:r>
    </w:p>
    <w:p>
      <w:pPr>
        <w:pStyle w:val="Heading2"/>
      </w:pPr>
      <w:r>
        <w:t>Erwägungen</w:t>
      </w:r>
    </w:p>
    <w:p>
      <w:r>
        <w:rPr>
          <w:b/>
        </w:rPr>
        <w:t>E. 4</w:t>
      </w:r>
    </w:p>
    <w:p>
      <w:r>
        <w:t>février 2003. Il est manifeste que la première demande formulée par le recourant le 12 août 2002 était fondée sur son droit au regroupement familial et motivée par son désir de vivre auprès de son épouse. L'autorité intimée l'a traitée comme telle et a refusé l'autorisation sollicitée sur la base de l'art. 7 al. 2 LSEE en invoquant notamment l'existence d'un mariage fictif. Or, la seconde demande formulée par l'intéressé le 28 mai 2003 a exactement le même objet et la même motivation que la précédente. Elle procède de son droit au regroupement familial avec une Suissesse. Par conséquent, vu l'identité d'objet et de parties avec la première procédure, c'est à bon droit que l'autorité intimée a considéré cette seconde requête comme une demande de réexamen. Que la seconde requête soit fondée sur de prétendus nouveaux éléments de fait, qui n'auraient pas été pris en compte par l'autorité intimée, n'y change rien puisque le changement de circonstances constitue précisément un motif de réexamen lorsque la décision litigieuse a des effets durables, comme on le verra ci-dessous. Cela étant, la nouvelle demande d'autorisation présentée par X.________ doit bien être traitée comme une demande de réexamen dans la présente procédure. 2.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3.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4.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5.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6.                     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Verwaltungsverfahren und Verwaltungsrechtspflege des Bundes, 2e éd., Zurich 1998, n° 740 et 741, p. 260; R. Rhinow/H Koller/K. Kiss, Öffentliches Prozessrecht und Justizverfassungsrecht des Bundes, Francfort-sur-le-Main 1996, n° 1431, p. 272 s.).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op. cit., n° 3 ad art. 56, p. 382). Dans les deux hypothèses, les faits invoqués doivent être importants, c'est-à-dire de nature à entraîner une modification de l'état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 7.                     En l'espèce, il n'est ni contesté ni contestable que le recourant, ayant qualité pour recourir contre la première décision du SPOP du 5 septembre 2002, avait qualité pour former une requête de réexamen (ATF 109 précité, cons. 4 a, p. 251), que sa requête a été adressée à l'autorité compétente pour en connaître et que cette requête était motivée à satisfaction de droit. S'agissant des motifs, le recourant demande au tribunal de contraindre l'autorité intimée à entrer en matière sur sa nouvelle demande de regroupement familial. Il invoque l'existence d'un fait survenu postérieurement à l'audience du 4 février 2003, soit le fait qu'il réside en compagnie de son épouse à Crissier et qu'il vit avec cette dernière une vie conjugale, comme tout couple "normal". La permanence de cette vie conjugale aurait pour conséquence à ses yeux que son dossier devrait être examiné sous un autre jour. De son côté, l'autorité intimée considère que la demande du 12 août 2002 était fondée sur le mariage du recourant avec une Suissesse et sur le principe du regroupement familial et que, dans le mesure où ces éléments ont déjà été examinés dans le cadre de la première décision, le recourant n'invoque aucun fait nouveau, pertinent et inconnu de lui lors de la première procédure. Il est vrai que dans sa décision du 5 septembre 2002, le SPOP avait estimé que le mariage du recourant avec Y.________ était de pure complaisance et que le recourant ne pouvait dans ces circonstances obtenir sous quelque forme que ce soit un titre de séjour en Suisse. A la suite de son audience tenue le 4 février 2003, au cours de laquelle le recourant et son épouse ont été entendus et au cours de laquelle il aurait été loisible au recourant de requérir l'audition d'autres témoins, le tribunal a confirmé cette décision, estimant également que le mariage d'X.________ et de Y.________ n'avait été conclu que dans le but d'éluder les règles de police des étrangers. La prétendue permanence de la vie conjugale du recourant depuis février 2003 ne représente nullement un fait nouveau au sens décrit ci-dessus (cons. 6 3e §), puisque cet élément existait déjà - à tout le moins à en croire les affirmations des intéressés - avant l'audience précitée, de sorte qu'il n'y a pas eu de changement de circonstances. De plus, X.________ n'allègue pas avoir été empêché sans sa faute de faire entendre d'autres témoins à l'audience du 4 février 2003. Par ailleurs, le simple écoulement du temps, en l'occurrence particulièrement bref (soit à peine deux mois si l'on prend en compte le temps écoulé entre l'arrêt du 28 avril 2003 et la décision entreprise du 19 juin 2003, voire quatre mois environ si l'on retient celle du présent arrêt), ne suffit manifestement pas pour admettre l'existence d'une véritable modification des circonstances. En réalité, tout porte à croire que le recourant utilise la voie du réexamen pour tenter de remettre en cause une décision définitive et exécutoire. Or, comme rappelé ci-dessus, tel n'est pas le but de cette institution (cons. 6 5e §). En d'autres termes, c'est à juste titre que le SPOP a nié l'existence d'un vrai fait nouveau et a refusé d'entrer en matière sur la demande présentée par X.________. Le recours doit donc être rejeté et la décision entreprise confirmée. 8.                     A toutes fins utiles, on précisera encore que même à supposer que l'autorité soit entrée en matière sur la demande de réexamen, il paraît fort peu probable que cela ait pu aboutir à une modification de la décision en cause et à la délivrance d'un permis de séjour en faveur du recourant par regroupement familial. Tant la doctrine que la jurisprudence ont en effet clairement précisé qu'en présence d'un mariage fictif, il ne suffisait pas, pour "guérir le vice", que les époux aient une vie commune. Si le Tribunal fédéral n'exclut pas qu'après la conclusion d'un mariage fictif, un couple puisse réellement tomber amoureux et décide de créer une véritable union conjugale, pareilles circonstances ne doivent cependant être admises que très restrictivement. Le simple fait de vivre ensemble ne saurait être considéré comme suffisant, sinon la porte serait ouverte à tous les abus (A. Wurzburger, La jurisprudence du Tribunal fédéral en matière de police des étrangers, RDAF 1997, p. 275; ATF 121 II 1 consid. 2 d + réf. cit.). Dans le cas présent, même s'il était établi que le couple X.________-Y.________ formait depuis l'arrêt du 28 avril 2003 un véritable couple en ce sens que les époux auraient l'intention de créer une réelle union conjugale, celle-ci serait de toute façon trop récente pour pouvoir être prise en considération. Enfin, et toujours dans l'hypothèse où ces sentiments existeraient vraiment, on ne saurait exclure qu'ils n'aient été suscités que par la décision de renvoi et ne constituent en réalité qu'un "feu de paille". 9.                     Au vu des considérants qui précèdent, l'autorité intimée, en traitant la demande de regroupement familial présentée par le recourant le 28 mai 2003 comme une demande de réexamen et en la déclarant irrecevable, n'a ni violé la loi ni excédé ou abusé de son pouvoir d'examen. Un nouveau délai de départ sera imparti à l'intéressé pour quitter le territoire vaudois. Le recours, manifestement mal fondé, peut être rejeté sans autre mesure d'instruction sur la base de l'art. 35a LJPA, aux frais du recourant qui succombe et n'a donc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