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PE.2003.0047 vom 29. September 2003</w:t>
      </w:r>
    </w:p>
    <w:p>
      <w:r>
        <w:t>VD Tribunal cantonal, 2003-09-29, FR</w:t>
      </w:r>
    </w:p>
    <w:p>
      <w:r>
        <w:rPr>
          <w:b/>
        </w:rPr>
        <w:t xml:space="preserve">Quelle: </w:t>
      </w:r>
      <w:r>
        <w:t>https://mcp.opencaselaw.ch/entscheid/vd_omni_PE.2003.0047</w:t>
      </w:r>
    </w:p>
    <w:p>
      <w:r>
        <w:t>FR: VD_OMNI PE.2003.0047 du 29 septembre 2003</w:t>
      </w:r>
    </w:p>
    <w:p>
      <w:r>
        <w:t>IT: VD_OMNI PE.2003.0047 del 29 settembre 2003</w:t>
      </w:r>
    </w:p>
    <w:p>
      <w:pPr>
        <w:pStyle w:val="Heading2"/>
      </w:pPr>
      <w:r>
        <w:t>Regeste</w:t>
      </w:r>
    </w:p>
    <w:p>
      <w:r>
        <w:t>c/SPOP | La recourante et ses enfants sont des sans-papiers. Rappel du principe du renvoi en cas de séjour illégal et de travail illégal. Aucune circonstance en l'espèce ne justifie de s'écarter de ce principe et de transmettre le dossier à l'IMES pour une éventuelle exemption aux mesures de limitation.</w:t>
      </w:r>
    </w:p>
    <w:p>
      <w:pPr>
        <w:pStyle w:val="Heading2"/>
      </w:pPr>
      <w:r>
        <w:t>Erwägungen</w:t>
      </w:r>
    </w:p>
    <w:p>
      <w:r>
        <w:rPr>
          <w:b/>
        </w:rPr>
        <w:t>E. 18</w:t>
      </w:r>
    </w:p>
    <w:p>
      <w:r>
        <w:t>février 2003. La recourante n'a jamais inquiété les services de police jusqu'ici. La présente affaire pose donc un problème de régularisation des conditions de séjour des recourants. 2.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violations caractérisée aux prescriptions en matière de police des étrangers tirées du séjour et travail illégaux fondent le SPOP à ne pas transmettre le dossier à l'IMES (TA, arrêts PE 2003/0154 du 11 juillet 2003; PE 2003/0090 du 26 mai 2003; PE 2002/0075 du 10 juillet 2002; PE 2000/0602 du 24 avril 2001; PE 2000/0297 du 6 novembre 2000; PE 1999/0181 du 20 juillet 1999; PE 1998/0388 du 28 octobre 1998; PE 1997/0157 du 10 juillet 1997; PE 1996/0236 du 2 décembre 1996; PE 1995/0844 du 6 novembre 1996; PE 1995/0151 du 2 août 1995; PE 1993/0108 du 27 juillet 1993; voir deux arrêts isolés récents PE 2003/0111 du 22 juillet 2003 et PE 2003/0163 du 8 septembre 2003 qui se réfèrent à la "circulaire Metzler" et consacrent une solution différente). Confronté à cette variation de jurisprudence, le Tribunal administratif constate que, non seulement le régime légal permet de sanctionner le séjour et le travail sans autorisation par un renvoi, mais encore qu'il en fait une règle générale et normalement impérative. Des exceptions ne sont certes pas exclues (art. 3 al. 3 RSEE;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II 137 consid. 2b et les réf. cit.), indépendamment du fait qu'elles ne doivent bien évidemment contenir aucune règle contraire aux dispositions légales applicables (ATF 117 Ib 225 consid. 4b; ASA 64 p. 761).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Le cas de la recourante n'a absolument rien à voir avec de telles circonstances exceptionnelles, puisqu'il s'agit d'un cas classique et flagrant d'immigration clandestine pour des motifs économiques. On ne voit aucun élément au dossier justifiant de ne pas tenir compte de l'existence d'infractions dès lors que celles-ci sont délibérées et caractérisées. Le fait que deux autres enfants de la recourante soient encore entrés dans notre pays démontre une volonté de forcer la décision des autorités, fait accompli véritablement inacceptable. Dans ces conditions, il n'y a pas lieu de déroger au principe du renvoi. Cette solution s'impose également si l'on considère que la recourante, qui a la charge d'élever seule une famille nombreuse, ne pourra vraisemblablement pas s'offrir un logement convenable et entretenir un ménage de six personnes. Il existe un risque concret et vraisemblable d'assistance de la collectivité au sens de l'art. 10 al. 1 lit. d LSEE, laquelle devra de surcroît se charger de scolariser les enfants. Ces considérations conduisent le tribunal à confirmer le refus de l'autorité intimée de délivrer une autorisation de séjour et de transmettre le dossier à l'IMES pour une éventuelle exemption aux mesures de limitation. 3.                     Les considérants qui précèdent conduisent au rejet du recours aux frais des recourants qui succombent (art. 55 al. 1 LJPA). Vu l'issue du pourvoi, un nouveau délai de départ doit être imparti aux recourants selon l'art.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