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PE.2002.0518 vom 15. April 2003</w:t>
      </w:r>
    </w:p>
    <w:p>
      <w:r>
        <w:t>VD Tribunal cantonal, 2003-04-15, FR</w:t>
      </w:r>
    </w:p>
    <w:p>
      <w:r>
        <w:rPr>
          <w:b/>
        </w:rPr>
        <w:t xml:space="preserve">Quelle: </w:t>
      </w:r>
      <w:r>
        <w:t>https://mcp.opencaselaw.ch/entscheid/vd_omni_PE.2002.0518</w:t>
      </w:r>
    </w:p>
    <w:p>
      <w:r>
        <w:t>FR: VD_OMNI PE.2002.0518 du 15 avril 2003</w:t>
      </w:r>
    </w:p>
    <w:p>
      <w:r>
        <w:t>IT: VD_OMNI PE.2002.0518 del 15 aprile 2003</w:t>
      </w:r>
    </w:p>
    <w:p>
      <w:pPr>
        <w:pStyle w:val="Heading2"/>
      </w:pPr>
      <w:r>
        <w:t>Regeste</w:t>
      </w:r>
    </w:p>
    <w:p>
      <w:r>
        <w:t>c/SPOP | Demande de regroupement familial refusée peu avant la majorité de l'étranger concerné.</w:t>
      </w:r>
    </w:p>
    <w:p>
      <w:pPr>
        <w:pStyle w:val="Heading2"/>
      </w:pPr>
      <w:r>
        <w:t>Erwägungen</w:t>
      </w:r>
    </w:p>
    <w:p>
      <w:r>
        <w:rPr>
          <w:b/>
        </w:rPr>
        <w:t>E. 17</w:t>
      </w:r>
    </w:p>
    <w:p>
      <w:r>
        <w:t>al. 2 LSEE). La décision attaquée doit être confirmée, dans un cas où le but n'est manifestement pas de permettre le ménage commun, mais d'obtenir plus facilement une autorisation de séjour afin d'intégrer le marché suisse du travail. 3.                     Les considérants qui précèdent conduisent au rejet du recours selon la procédure simplifiée de l'art. 35a LJPA aux frais des recourants qui succombent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