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MPU.2020.0017 vom 9. Juli 2020</w:t>
      </w:r>
    </w:p>
    <w:p>
      <w:r>
        <w:t>VD Tribunal cantonal, 2020-07-09, FR</w:t>
      </w:r>
    </w:p>
    <w:p>
      <w:r>
        <w:rPr>
          <w:b/>
        </w:rPr>
        <w:t xml:space="preserve">Quelle: </w:t>
      </w:r>
      <w:r>
        <w:t>https://mcp.opencaselaw.ch/entscheid/vd_omni_MPU.2020.0017</w:t>
      </w:r>
    </w:p>
    <w:p>
      <w:r>
        <w:t>FR: VD_OMNI MPU.2020.0017 du 9 juillet 2020</w:t>
      </w:r>
    </w:p>
    <w:p>
      <w:r>
        <w:t>IT: VD_OMNI MPU.2020.0017 del 9 luglio 2020</w:t>
      </w:r>
    </w:p>
    <w:p>
      <w:pPr>
        <w:pStyle w:val="Heading2"/>
      </w:pPr>
      <w:r>
        <w:t>Regeste</w:t>
      </w:r>
    </w:p>
    <w:p>
      <w:r>
        <w:t>A.________/Service d'architecture, B.________ | Qualité pour recourir en matière de marchés publics (rappel de la jurisprudence). Arrivée au 7ème rang sur les 7 offres évaluées avec une note finalement largement inférieure à tous les autres soumissionnaires, la recourante, qui invoque comme seul argument que le prix de l'adjudicataire ne serait pas réaliste, n'a aucune chance de se voir attribuer le marché litigieux. Elle n'a donc pas d'intérêt pratique effectif à la contestation de la décision d'adjudication attaquée. Qualité pour recourir déniée et recours déclaré irrecevable.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MPU.2019.0010 du 11 novembre 2019 consid. 1a; MPU.2019.0005 du 31 juillet 2019 consid. 1a, MPU.2018.0038 du 11 février 2018 consid. 1b et les arrêts cités). b) En l'espèce, la recourante a été classée au 7 ème rang sur les sept offres évaluées. Elle a obtenu la note finale de 1.44 contre 4.65 pour l'adjudicataire. Pour seul argument, elle soutient que le prix offert par l'adjudicataire ne serait pas réaliste et suspecte un dumping salarial, voire du travail au noir. Si elle était suivie sur ce point, l'offre de l'adjudicataire, qui constituerait une sous-enchère prohibée, devrait être exclue (art. 32, 2 ème tiret, let. b du règlement d'application de la loi du 24 juin 1996 sur les marchés publics – RLMP-VD, BLV 726.01.1). Cela ne lui permettrait toutefois pas d'obtenir le marché, puisqu'elle resterait largement derrière les cinq autres entreprises qui ont soumissionné et contre lesquelles elle n'a émis aucune critique. On relève également qu'elle n'a pas non plus contesté ses propres notations. Force est dès lors de constater que la recourante n'a aucune chance de se voir attribuer le marché litigieux. La qualité pour recourir doit ainsi lui être déniée.</w:t>
      </w:r>
    </w:p>
    <w:p>
      <w:r>
        <w:rPr>
          <w:b/>
        </w:rPr>
        <w:t>E. 2</w:t>
      </w:r>
    </w:p>
    <w:p>
      <w:r>
        <w:t>En conséquence, la cour ne peut entrer en matière sur le recours, qui doit être déclaré irrecevable. La recourante, qui succombe, supportera les frais de justice (art. 49 al. 1 LPA-VD). L'autorité intimée, qui n'a pas procédé par l'intermédiaire d'un mandataire professionnel, et l'adjudicataire, qui ne s'est pas déterminée, n'ont pas droit à des dépens (art. 55 al. 1 LPA-VD; art. 10 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