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MPU.2020.0002 vom 31. Juli 2020</w:t>
      </w:r>
    </w:p>
    <w:p>
      <w:r>
        <w:t>VD Tribunal cantonal, 2020-07-31, FR</w:t>
      </w:r>
    </w:p>
    <w:p>
      <w:r>
        <w:rPr>
          <w:b/>
        </w:rPr>
        <w:t xml:space="preserve">Quelle: </w:t>
      </w:r>
      <w:r>
        <w:t>https://mcp.opencaselaw.ch/entscheid/vd_omni_MPU.2020.0002</w:t>
      </w:r>
    </w:p>
    <w:p>
      <w:r>
        <w:t>FR: VD_OMNI MPU.2020.0002 du 31 juillet 2020</w:t>
      </w:r>
    </w:p>
    <w:p>
      <w:r>
        <w:t>IT: VD_OMNI MPU.2020.0002 del 31 luglio 2020</w:t>
      </w:r>
    </w:p>
    <w:p>
      <w:pPr>
        <w:pStyle w:val="Heading2"/>
      </w:pPr>
      <w:r>
        <w:t>Regeste</w:t>
      </w:r>
    </w:p>
    <w:p>
      <w:r>
        <w:t>A.________ /Direction générale de la mobilité et des routes DGMR | Admission du recours contre l'exclusion d'un soumissionnaire pour prix anormalement bas, inférieur de 32% à la moyenne des offres rentrées (prestations d'ingénieur civil). En audience, la recourante a expliqué qu'elle avait calculé le montant de son offre en spéculant, sur la base de ses expériences lors de la réalisation des étapes précédentes du projet routier, sur le fait que les travaux pourraient être réalisés sur une période plus courte que les 18 mois retenus par le pouvoir adjudicateur. Selon le dossier d'appel d'offres, le montant des honoraires est plafonné par phase d'exécution; il vaut indépendamment du nombre d'heures indiqué par le soumissionnaire, nombre qui est comparé à celui de ses concurrents, afin d'effectuer une sorte de contrôle de la plausibilité de l'offre. Examen du cas sous l'angle de la doctrine et de la jurisprudence relatives aux offres spéculatives. En l'occurrence, rien n'indique que l'estimation de 18 mois effectuée par l'autorité intimée procéderait d'une erreur manifeste ou que la réduction de cette durée sur laquelle table la recourante serait fortement vraisemblable (hypothèses dans lesquelles l'exclusion pourrait se justifier). Dans ces conditions, la fixation du montant de l'offre de la recourante apparaît comme une véritable prise de risque de sa part pour le cas où elle obtiendrait l'adjudication, prise de risque qui relève de la liberté du soumissionnaire de s'organiser et de calculer ses prix comme il l'entend. Il n'y a pas lieu d'exclure la recourante pour ce motif, ni d'ailleurs pour avoir fourni de faux renseignements dans son offre.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on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(arrêts MPU.2018.0038 du 11 février 2018 consid. 1b et MPU.2016.0006 du 20 juin 2016 consid. 2; voir ég. la jurisprudence rendue par le Tribunal fédéral en lien avec l'application de l'art. 89 de la loi fédérale du 17 juin 2005 sur le Tribunal fédéral [LTF; RS 173.110], en particulier  ATF 141 II 307 consid. 6; 141 II 14 consid. 4 et 140 I 285). En l'espèce, la recourante a été exclue de la procédure d’adjudication, au motif qu’elle avait offert un prix anormalement bas, ce qui constituerait une sous-enchère prohibée. Dans la mesure où elle nie que les conditions de son exclusion aient été réalisées et conclut à ce qu'elle soit réintégrée dans la procédure, elle a qualité pour recourir contre cette décision. Sans doute, l’autorité intimée s’est livrée à une simulation d’évaluation, l’offre de la recourante ayant été réintégrée pour les besoins de la cause dans la procédure. Il apparaît, sur la base de cette simulation, que même si elle obtenait gain de cause sur la contestation de son exclusion, la recourante ne se verrait de toute façon pas adjuger le marché, puisqu’elle terminerait deuxième. Toutefois, la présente procédure porte uniquement sur l'exclusion de la recourante, de sorte que les questions liées à l'évaluation des offres et à l'adjudication, laquelle n'a pas encore été prononcée, sont exorbitantes de l’objet de la contestation et du litige et n’ont pas à être abordées. Il n’y a donc pas lieu de douter de la qualité de la recourante pour contester la décision attaquée. b) Pour le surplus, le recours a été déposé dans les délai et forme prescrits par l'art. 10 de la loi vaudoise du 24 juin 1996 sur les marchés publics (LMP-VD; BLV 726.01) et les art. 19, 20 et 79 LPA-VD. Il convient donc d'entrer en matière.</w:t>
      </w:r>
    </w:p>
    <w:p>
      <w:r>
        <w:rPr>
          <w:b/>
        </w:rPr>
        <w:t>E. 2</w:t>
      </w:r>
    </w:p>
    <w:p>
      <w:r>
        <w:t>a) La matière est régie par l’accord intercantonal sur les marchés publics, du 25 novembre 1994 (A-IMP; BLV 726.91), ainsi que par la LMP-VD et le règlement y relatif, du 7 juillet 2004 (RLMP-VD; BLV 726.01.1). b) En matière de marchés publics, le pouvoir d’examen du Tribunal dépend de la nature des griefs invoqués. Le Tribunal contrôle librement l’application des règles destinées à assurer la régularité de la procédure (ATF 125 II 86 consid. 6 p. 98/99; arrêt MPU.2017.0044 du 3 mai 2018 consid. 3b et réf.). Le Tribunal vérifie librement si les conditions prévues par la loi pour le prononcé d'une exclusion sont remplies; il respecte en revanche le pouvoir d'appréciation laissé au pouvoir adjudicateur par les dispositions régissant l'exclusion.</w:t>
      </w:r>
    </w:p>
    <w:p>
      <w:r>
        <w:rPr>
          <w:b/>
        </w:rPr>
        <w:t>E. 3</w:t>
      </w:r>
    </w:p>
    <w:p>
      <w:r>
        <w:t>Sur le plan matériel, l’offre de la recourante a été exclue, au motif que le prix offert, 386'642 fr.15 TTC, était anormalement bas.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Aux termes de cette disposition, la loi tend, notamment, à assurer une concurrence efficace entre les soumissionnaires (let. a). L’art. 6 LMP-VD impose à l’adjudicateur, lors de la passation de marchés, de respecter notamment les principes suivants: non-discrimination et égalité de traitement de chaque soumissionnaire (let. a); respect des dispositions relatives à la protection des travailleurs et aux conditions de travail (let. b); adjudication au soumissionnaire ayant présenté l'offre économiquement la plus avantageuse (f ter ). D'après l'art. 32 2 ème tiret RLMP-VD, une offre peut être exclue notamment lorsqu'elle comporte des prix anormalement bas non justifiés selon l'art. 36 (let. b) ou lorsqu'elle comporte de faux renseignements (let. c). L'art. 36 RLMP-VD dispose ce qui suit: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b) Le pouvoir adjudicateur n'a pas l'obligation d'exclure une offre si celle-ci s'avère anormalement basse. Il est uniquement tenu de demander des précisions, conformément au droit d'être entendu, lorsqu'il envisage d'exclure une offre; dans un tel cas, il faut permettre au soumissionnaire visé de s'expliquer et de justifier le prix avantageux qu'il offre (cf. ATF 141 II 353 consid. 8.3.2 pp. 377/378; 130 I 241 consid. 7.3 p. 255). En effet, une offre anormalement basse ne constitue pas en soi un procédé inadmissible (cf. Peter Galli/André Moser/Elisabeth Lang/Marc Steiner, Praxis des öffentlichen Beschaffungsrechts, 3 e éd., Zurich 2013, n°1115, p. 517 ss), pour autant que le soumissionnaire remplisse les critères d'aptitude et les conditions légales d'accès à la procédure (cf., pour ces notions, ATF 140 I 285 consid. 5.1 p. 293 s.), ce que l'autorité adjudicatrice doit vérifier en requérant des précisions en cas de doute à ce sujet (cf. ATF 141 II 353 consid. 8.3.2 p. 378; 14 consid. 10.3 p. 48). Il s’agit essentiellement pour le pouvoir adjudicateur de vérifier que l’auteur de l’offre est bien en mesure de fournir effectivement les prestations demandées; un prix excessivement bas peut constituer un indice de l’inexpérience du soumissionnaire ou du fait qu’il ne respecte pas les conditions sociales et de travail, par exemple, auquel cas une exclusion serait justifiée (Etienne Poltier, Droit des marchés publics, Berne 2014, n°313 p. 195).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Robert Wolf, Der Angebotspreis: Probleme und Lösungen, in Droit de la construction, Colloque marchés publics 04, Sonderheft 2004, p. 12 s.; arrêts MPU.2017.0014 consid. 4a et MPU.2015.0037 consid. 5a). Elle exclut ainsi un régime dans lequel l'élimination de certaines offres (par exemple, celles dont le prix serait inférieur de 30% à la moyenne) serait automatique. En revanche, il paraît admissible de fixer un seuil de ce type (pour reprendre l'exemple cité ci-dessus: celui d'une offre inférieure de 30% à la moyenne) pour déclencher l'obligation du pouvoir adjudicateur de demander des explications au soumissionnaire, afin qu'il justifie son prix (v. arrêt GE.2001.0072 du 12 octobre 2001 ),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MPU.2014.0003 du 4 août 2014 consid. 5a; MPU 2013.0003 du 29 mai 2013 consid. 3a; GE.2007.0189 du 28 janvier 2008 consid. 4a). c) Ce n'est que si les explications données n'apparaissent pas convaincantes que l'offre en question peut être écartée du marché (ATF 130 I 241 consid. 7. 3; ég. arrêts MPU.2017.0014 du 7 juin 2017 consid. 4a, MPU.2015.0037 du 25 janvier 2016 consid. 5a et les références citées). Toutefois, l’offre sera exclue ou moins bien notée en raison des défauts dont elle est entachée, mais pas en raison de son prix bas (ATF 143 II 553 consid. 7.1 p. 560, réf. citée). De même, lorsque l’offre anormalement basse émane d’un soumissionnaire qui explique être en mesure de fournir la prestation malgré le niveau très bas du prix, le pouvoir adjudicateur ne devrait pas écarter une telle offre, même si elle apparaît comme un acte de concurrence déloyale, voire comme un abus de position dominante (Poltier, op. cit., n°313; Galli/Moser/Lang/Steiner, op. cit., p. 526). Sur le plan matériel, la règle prescrite à l’art. 32 2 ème tiret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de l'ancien règlement du 8 octobre 1997 d'application de la loi du 24 juin 1996 sur les marchés publics (règlement abrogé par le RLMP-VD avec effet au 1 er septembre 2004),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consid. 3c/bb). Cette règle ne saurait toutefois dispenser le pouvoir adjudicateur de s'assurer, en présence d'une offre anormalement basse, qu’il est possible au moins disant d'exécuter le travail selon les règles de l'art (v. arrêt GE.2001.0072 précité).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Selon le Tribunal fédéral, le simple fait qu'une offre soit anormalement basse, voire qu'elle ne couvre pas le prix de revient, ne suffit en principe pas à justifier son exclusion. L'exclusion pour ce motif n'entre en ligne de compte que s'il y a lieu de douter, le cas échéant après avoir pris des renseignements complémentaires, que le soumissionnaire soit en mesure d'exécuter le contrat aux conditions offertes, auquel cas l'offre n'apparaît pas sérieuse  (TF 2D_34/2010 du 23 février 2011 consid. 2.4; voir aussi 2P.70/2006 et 2P.71/2006 du 23 février 2007 consid. 4.3). Au vu de cette jurisprudence, la jurisprudence cantonale – d'ailleurs rendue sous l'empire de l'ancienne règlementation – selon laquelle on ne peut parler d'exécution du marché dans des conditions normales, lorsque le soumissionnaire présente une offre qui impliquerait pour lui de travailler à perte (arrêt GE.2001.0072 précité consid. 3c/bb cité not. in MPU.2015.0037 du 25 janvier 2016 consid. 5a), ne peut être maintenue. d)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arrêts MPU.2014.0003 du 4 août 2014 consid. 5a; MPU 2013.0003 du 29 mai 2013 consid. 3a ).</w:t>
      </w:r>
    </w:p>
    <w:p>
      <w:r>
        <w:rPr>
          <w:b/>
        </w:rPr>
        <w:t>E. 4</w:t>
      </w:r>
    </w:p>
    <w:p>
      <w:r>
        <w:t>Selon la jurisprudence et la doctrine, l'exclusion peut se justifier également en présence d'une offre spéculative, lorsque certaines conditions sont réunies. Beyeler envisage plusieurs cas d'offre spéculative pouvant conduire à l'exclusion du soumissionnaire qui en est l'auteur (Martin Beyeler, Der Geltungsanspruch des Vergaberechts, 2012, n. 2334 ss; voir aussi Daniela Lutz, Angebotspreis: Kalkulationsfreiheit und die Schranken, in: Zufferey/Stöckli [édit.], Marchés publics 2014, p. 281 ss, 296 ss; Roman Brazerol, Der Einheitspreis im Bauwerkvertrag, 2019, p. 217 ss, 232 ss). a) Dans l'un de ces cas, en présence d'un appel d'offres comportant aussi bien des positions avec des prix unitaires que des positions avec des prix forfaitaires, un soumissionnaire offre des prix unitaires plus bas, en spéculant sur le fait que les prestations à effectuer au prix unitaire seront beaucoup moindres qu'indiqué dans l'appel d'offres; en parallèle, il "se rattrape" sur les prix forfaitaires (ou inversement). En d'autres termes, le soumissionnaire inclut certains coûts dans les prestations rémunérées à forfait, alors que ceux-ci devraient être intégrés dans les prestations à prix unitaire. Dans une telle situation, l'offre n'est pas conforme aux conditions de l'appel d'offres et peut être exclue, à condition 1) que ce "report" de chiffre d'affaires des positions à prix unitaire sur celles à prix forfaitaire soit prouvé, 2) que ce "transfert" porte, au regard du total de l'offre, sur des montants considérables et 3) qu'il soit hautement vraisemblable que, du fait de ce mode de calcul du prix, l'adjudicateur subira un préjudice inhabituel et non négligeable (Beyeler, op. cit., n. 2347; voir aussi Lutz, op. cit., p. 296 s. avec renvoi aux arrêts du TF 2D_34/2010 précité consid. 2.4 et 2P.164/2002 du 27 novembre 2002 consid. 3.3.2). L'adjudicateur supporte le fardeau de la preuve des faits conduisant à l'exclusion (Beyeler, op. cit., n. 2350). L'adjudicateur peut exclure, dès lors qu'il n'est pas en présence seulement d'un cas bagatelle; il doit le faire (il y aurait abus du pouvoir d'appréciation de ne pas le faire) lorsqu'une réduction non négligeable des quantités des prestations à prix unitaires est vraisemblable ou pratiquement certaine et que, sur la base de ces quantités réduites, compte tenu de tous les critères d'adjudication, au moins une offre concurrente devrait être préférée à celle affectée par le report (Beyeler, op. cit., n. 2359). L'exclusion se justifie sans autres conditions, lorsque le soumissionnaire a procédé au "report" décrit ci-dessus en exploitant une erreur de l'adjudicateur, erreur qui pouvait selon toute vraisemblance être décelée ex ante et de manière objective. Conscient de cette erreur, le soumissionnaire a établi son offre en admettant que, selon une vraisemblance confinant à la certitude, les prestations offertes selon un prix unitaire ne seront pas du tout exécutées ou ne le seront que dans une mesure bien moindre. En n'informant pas l'adjudicateur de cette erreur, le soumissionnaire a agi contrairement aux règles de la bonne foi, ce qui justifie en soi déjà l'exclusion (Beyeler, op. cit., n. 2357; voir aussi Brazerol, op. cit., p. 234 n. 837 et p. 236 n. 844). b) Dans un autre cas, analogue au précédent, les coûts qui devraient être intégrés dans une position à prix unitaire le sont dans une autre position unitaire, à laquelle ces coûts sont étrangers. Une position unitaire est alors surévaluée, tandis que l'autre est sous-évaluée. L'offre étant établie en violation des règles sur la formation des prix définies par l'adjudicateur, celui-ci est fondé à exclure le soumissionnaire concerné à des conditions analogues à celles de l'exclusion en cas de report des positions unitaires sur les positions forfaitaires: il faut que les règles sur la formation des prix et leur violation soient établies et qu'il existe un risque non négligeable que l'adjudicateur subisse des conséquences négatives importantes, qui dépassent les risques ordinairement encourus dans les affaires (Beyeler, op. cit., n. 2368 s.). Lutz relève également que l'exclusion d'une offre spéculative suppose en principe la violation d'une règle (explicite ou implicite) sur la formation des prix (op. cit., p. 297 n. 32). Les "transferts" de coûts entre positions unitaires présentent toutefois des risques moindres qu'en cas de report de positions unitaires vers des positions forfaitaires. L'existence de tels transferts entre positions unitaires ne doit dès lors être admise qu'avec retenue (Lutz, op. cit., p. 297 n. 32 et les renvois à la jurisprudence du Tribunal administratif du canton de Zurich). c) Un autre cas d'offre spéculative est celui du soumissionnaire qui spécule en vue d'obtenir le marché ("Vergabespekulation"; sur cette notion, cf. aussi Brazerol, op. cit., p. 224 n. 799, lequel relève qu'il s'agit de la forme de spéculation la moins problématique du point de vue de l'adjudicateur [p. 235 n. 842]) et non pas dans le but d'améliorer sa rentabilité. Dans cette situation, le soumissionnaire sous-évalue certaines positions et fait une offre moins-disante qui, dans la perspective de la comparaison des offres, présente une rentabilité moindre que celle qu'il espère, en tablant sur le fait que les prestations sous-évaluées ne seront pas exécutées ou le seront seulement dans une mesure insignifiante (Beyeler, op. cit., n. 2370). Si le soumissionnaire agit de la sorte en exploitant une erreur de l'adjudicateur, erreur qui pouvait selon toute vraisemblance être décelée ex ante et de manière objective, l'adjudicateur peut l'exclure pour ne pas lui avoir signalé son erreur, en violation de ses obligations précontractuelles (Beyeler, op. cit., n. 2371). Si, au lieu d'exploiter une erreur de l'adjudicateur, le soumissionnaire spécule sur le fait que les prestations qu'il a offertes à un prix très bas ne seront pas exécutées ou le seront seulement dans une mesure insignifiante, en retenant une hypothèse différente de celle de l'adjudicateur, qui a peut-être moins de chances de se réaliser que cette dernière, il ne se justifie en principe pas de l'exclure. En effet, dans un tel cas, le soumissionnaire prend un risque non négligeable, si ses prévisions ne devaient pas s'avérer, de devoir exécuter ses prestations à des conditions de rentabilité bien moins avantageuses, voire même à perte. Pour autant qu'elle ne repose pas sur l'exploitation d'une erreur, une telle prise de risque ne s'écarte pas fondamentalement des autres comportements dictés par le jeu de la concurrence. Sous réserve des règles sur la sous-enchère, chaque soumissionnaire est en principe libre de calculer ses prix compte tenu des risques qu'il est prêt à assumer (concernant la liberté du soumissionnaire dans la calculation de ses prix [Kalkulationsfreiheit], voir aussi Brazerol, op. cit., p. 220 n. 788). En outre, le simple fait d'offrir à un prix très bas pour une position déterminée ne saurait constituer une violation des règles sur la formation des prix définies par l'adjudicateur (Beyeler, op. cit., n. 2372 s.). Lorsqu'un soumissionnaire spécule en vue d'obtenir le marché ("Vergabespekulation"), l'exclusion n'entre en ligne de compte que si 1) il est fortement vraisemblable que l'hypothèse envisagée par le soumissionnaire se réalise (soit que les quantités de prestations offertes à un prix très bas soient fortement réduites) et que 2), compte tenu de la réduction de ces quantités, le marché devrait être adjugé, au regard de l'ensemble des critères d'adjudication, à un autre soumissionnaire (Beyeler, op. cit., n. 2373).</w:t>
      </w:r>
    </w:p>
    <w:p>
      <w:r>
        <w:rPr>
          <w:b/>
        </w:rPr>
        <w:t>E. 5</w:t>
      </w:r>
    </w:p>
    <w:p>
      <w:r>
        <w:t>L’autorité intimée explique à cet égard que la note maximale impliquait d'être 10% en dessous et 15% au-dessus de la moyenne des heures offertes par les soumissionnaires, laquelle approchait 6'000 heures. Le moins que l’on puisse dire est que la différence de ¼ de point entre la note maximale et celle obtenue par la recourante n’est guère significative et ne remet pas en cause les compétences de cette dernière. Du reste, la recourante se situe dans la «fourchette haute» des soumissionnaires ayant offert un peu plus de 5'000 heures. cc) En réalité, comme on l’a dit, la recourante spécule sur le fait qu’elle parviendra à réaliser le mandat faisant l’objet du marché sur une période plus courte que celle annoncée dans son offre, afin d'obtenir au final un tarif horaire plus avantageux. Or, le fait qu'une offre doive être considérée comme spéculative ne signifie pas pour autant qu’elle contienne de faux renseignements ou comporte de fausses indications. Le débat a trait ici à la liberté du soumissionnaire de s’organiser et de calculer ses prix comme il l’entend – sauf indication contraire du cahier des charges –, afin de pouvoir exécuter le marché. En l'occurrence, l'exclusion ne se justifie pas non plus sous l'angle de la notion d'offre spéculative (cf. consid. 4 ci-dessus). En effet, l'autorité intimée a déterminé dans les documents d'appel d'offres un nombre d'heures pour la phase 52 "Exécution des travaux", en indiquant que celle-ci requérait au minimum la présence d'une personne à plein temps sur le chantier pendant 18 mois. En se fondant sur ses connaissances acquises dans l'exécution des marchés portant sur les autres tronçons et des travaux préliminaires, la recourante spécule apparemment sur le fait qu'il suffira de 12 mois pour effectuer les travaux et que le tarif horaire de ses prestations s'en trouvera amélioré. Or, rien n'indique que la durée de 18 mois procéderait d'une erreur pouvant être décelée ex ante de manière objective. Il n'y a pas non plus lieu d'admettre que cette "réduction" de la durée des travaux serait fortement vraisemblable. A cet égard, on peut en particulier relever que l'autorité intimée n'a à aucun moment fait valoir que la durée de 18 mois était surévaluée, ou qu'elle constituait à tout le moins une estimation prudente – et donc plutôt large – du temps nécessaire. Lors de l'audience, elle a au contraire relevé que le fait que le précédent marché avait pu être exécuté en 12 mois seulement était dû à des circonstances particulières, à savoir que le chef de projet, qui allait partir à la retraite, s'était mis au défi de réaliser les travaux en un temps record. Dans ces conditions, la "réduction" du temps nécessaire sur laquelle table la recourante apparaît comme une véritable prise de risque – pour le cas où elle obtiendrait l'adjudication –, même si elle repose sur le niveau d'information plus élevé qui est le sien (niveau d'information qui ne l'a pas empêchée de soumissionner, puisque l'appel d'offres – non contesté – l'autorise expressément à participer à la procédure). Si les prévisions de la recourante ne s'avèrent pas, celle-ci n'en sera pas moins tenue de fournir ses prestations aux prix (plafonnés par phases) offerts, en effectuant notamment les heures découlant des indications figurant sur le formulaire F21 pour la phase 52, voire un nombre d'heures plus élevé. Cela justifie d'ailleurs que ce soit les heures indiquées dans la soumission qui soient notées comme élément d'appréciation du sous-critère 2.1, quand bien même la recourante spécule sur une durée des travaux moindre. L'on ne se trouve ainsi pas dans l'une des situations qui, selon la doctrine et la jurisprudence citées plus haut, devraient conduire à exclure l'auteur d'une offre spéculative.</w:t>
      </w:r>
    </w:p>
    <w:p>
      <w:r>
        <w:rPr>
          <w:b/>
        </w:rPr>
        <w:t>E. 6</w:t>
      </w:r>
    </w:p>
    <w:p>
      <w:r>
        <w:t>Les considérants qui précèdent conduisent le Tribunal à admettre le recours et à annuler la décision attaquée. Le sort du litige commande de laisser les frais de justice à la charge de l’Etat (cf. art. 49 al. 1, 52 al. 1, 91 et 99 LPA-VD). Pour les mêmes raisons,  des dépens seront alloués à la recourante, qui obtient gain de cause avec l’assistance d’un avocat (cf. art. 55 al. 1, 91 et 99 LPA-VD). Ces dépens seront mis à la charge du Département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