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MPU.2019.0004 vom 1. April 2019</w:t>
      </w:r>
    </w:p>
    <w:p>
      <w:r>
        <w:t>VD Tribunal cantonal, 2019-04-01, FR</w:t>
      </w:r>
    </w:p>
    <w:p>
      <w:r>
        <w:rPr>
          <w:b/>
        </w:rPr>
        <w:t xml:space="preserve">Quelle: </w:t>
      </w:r>
      <w:r>
        <w:t>https://mcp.opencaselaw.ch/entscheid/vd_omni_MPU.2019.0004</w:t>
      </w:r>
    </w:p>
    <w:p>
      <w:r>
        <w:t>FR: VD_OMNI MPU.2019.0004 du 1 avril 2019</w:t>
      </w:r>
    </w:p>
    <w:p>
      <w:r>
        <w:t>IT: VD_OMNI MPU.2019.0004 del 1 aprile 2019</w:t>
      </w:r>
    </w:p>
    <w:p>
      <w:pPr>
        <w:pStyle w:val="Heading2"/>
      </w:pPr>
      <w:r>
        <w:t>Regeste</w:t>
      </w:r>
    </w:p>
    <w:p>
      <w:r>
        <w:t>A.________/Municipalité de Lausanne, B.________ | Marché public portant sur des travaux d'installations sanitaires. Exclusion d'une entreprise, qui a des actes de défaut de biens pour plus d'un million de francs, en raison principalement de dettes d'impôts (TVA). Certes, ces dettes remontent à plus de 20 ans et font l'objet d'un plan de paiement que la recourante semble respecter. Au moment où l'autorité a statué, l'arriéré s'élevait toutefois encore à un montant de plus de 600'000 francs. On ne saurait dans ces conditions reprocher à l'autorité d'avoir retenu qu'il ne s'agissait pas d'un cas de peu de gravité et d'avoir fait application de l'art. 32 RLMP-VD. Recours rejeté et exclusion confirmée.</w:t>
      </w:r>
    </w:p>
    <w:p>
      <w:pPr>
        <w:pStyle w:val="Heading2"/>
      </w:pPr>
      <w:r>
        <w:t>Erwägungen</w:t>
      </w:r>
    </w:p>
    <w:p>
      <w:r>
        <w:rPr>
          <w:b/>
        </w:rPr>
        <w:t>E. 1</w:t>
      </w:r>
    </w:p>
    <w:p>
      <w:r>
        <w:t>Déposé dans les délais et formes prescrits (art. 10 de la loi vaudoise du 24 juin 1996 sur les marchés publics [LMP-VD; BLV 726.01]), le recours est recevable. En outre, en tant que soumissionnaire exclu, la recourante a incontestablement la qualité pour recourir. Il y a donc lieu d'entrer en matière.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MPU.2018.0005 du 19 septembre 2018 consid. 4; MPU.2017.0001 du 9 mai 2017 consid. 2; MPU.2016.0006 du 20 juin 2016 consid. 3 et les arrêts cités). Il est ainsi interdit à l'autorité judiciaire de substituer son pouvoir d'appréciation à celui de l'adjudicateur, sous peine de statuer en opportunité et de violer ainsi l'art. 98 LPA-VD, applicable par renvoi de l'art. 10 al. 3 LMP-VD. Le tribunal n'intervient qu'en cas d'abus ou d'excès du pouvoir de décision de l'adjudicateur, ce qui, en pratique, revient à exercer un contrôle restreint à l'arbitraire (ATF 141 II 353 consid. 3 et les nombreuses références citées; arrêts TF 2C_58/2018 du 29 juin 2018 consid. 5.1 et TF 2C_418/2014 du 20 août 2014 consid. 4.1). En revanche, il contrôle librement l'application des règles destinées à assurer la régularité de la procédure (ATF 141 II 353 consid. 3 et ATF 125 II 86 consid. 6; arrêts MPU.2018.0005 du 19 septembre 2018 consid. 4; MPU.2017.0044 du 3 mai 2018 consid. 3b; MPU.2017.0024 du 27 mars 2018 consid. 2 et les arrêts cités).</w:t>
      </w:r>
    </w:p>
    <w:p>
      <w:r>
        <w:rPr>
          <w:b/>
        </w:rPr>
        <w:t>E. 3</w:t>
      </w:r>
    </w:p>
    <w:p>
      <w:r>
        <w:t>a) Conformément à l'art. 32 du règlement d'application de la LMP-VD du 7 juillet 2004 (RLMP-VD; BLV 726.01.1), une offre peut être exclue notamment lorsque le soumissionnaire n'a pas payé ses impôts ou ses cotisations sociales (1 er tiret, let. b). Selon la jurisprudence, l'exclusion de la procédure doit se faire dans le respect du principe de la proportionnalité; elle ne peut se fonder sur des éléments mineurs ou du moins qui ne sont pas déterminants pour la décision d'adjudication (TF 2C_418/2014 du 20 août 2014 consid. 4.2; 2D_34/2010 du 23 février 2011 consid. 2.3; 2C_197/2010 du 30 avril 2010 consid. 6.1 et 6.3; ég. arrêts MPU.2018.0030 du 26 novembre 2018 consid. 3a et MPU.2016.0002 du 18 avril 2016 consid. 2b et les arrêts cités). En règle générale, le non-paiement des impôts et des cotisations sociales ainsi que des indications erronées à ce sujet dans la déclaration volontaire ne constituent pas des cas de peu gravité et conduisent à l'exclusion de l'offre du soumissionnaire (TF 2D_49/2011 du 25 septembre 2012 consid. 5.7; ég. décision incidente du Tribunal administratif fédéral du 5 avril 2018 dans la cause B-396/2018 consid. 4.4.3). b) En l'espèce, il ressort des pièces du dossier que la recourante a des actes de défaut de biens pour un montant total de 1'055'312 fr. 50. Ces actes de défaut de biens portent sur des dettes envers la Confédération, en grande partie pour de la TVA impayée. Ces dettes remontent certes à plus de vingt ans et font l'objet depuis septembre 2016 d'un plan de paiement que la recourante semble respecter. Au 31 décembre 2018, l'arriéré s'élevait toutefois encore à un montant de 611'808 fr. 05. Comme l'autorité intimée le relève, ce montant est loin d'être "anecdotique". Ce sont en définitive des sommes importantes qui ont été soustraites au fisc pendant plusieurs années. Peu importe les motifs qui ont conduit à ces manquements. Sous l'angle du principe de proportionnalité, on ne saurait dans ces conditions reprocher à l'autorité intimée d'avoir retenu qu'il ne s'agissait pas d'un cas de peu de gravité et d'avoir fait application de l'art. 32 RLMP-VD. Sauf à violer le principe de l'égalité de traitement entre soumissionnaires en privilégiant une entreprise présentant un important passif fiscal au détriment d'autres en règle avec leurs obligations, elle n'avait au contraire pas d'autre choix. On relèvera encore que, si l'adjudicataire a des poursuites pour un montant supérieur à 1'500'000 fr., ces poursuites émanent exclusivement de créanciers privés et ont toutes été frappées d'opposition. On ne se trouve par conséquent pas dans l'hypothèse visée par l'art. 32, 1 er tiret, let. b RLMP-VD. La décison d'exclusion litigieuse ne prête dès lors pas le flanc à la critique.</w:t>
      </w:r>
    </w:p>
    <w:p>
      <w:r>
        <w:rPr>
          <w:b/>
        </w:rPr>
        <w:t>E. 4</w:t>
      </w:r>
    </w:p>
    <w:p>
      <w:r>
        <w:t>Mal fondé, le recours doit être rejeté et la décision attaquée confirmée. La recourante, qui succombe, supportera les frais de justice (art. 49 al. 1 LPA-VD). Il n'y a pas lieu d'allouer de dépens, l'autorité intimée ayant agi par l'intermédiaire de son service juridique et l'adjudicataire n'ayant pas procédé (art. 55 al. 1 LPA-VD et art. 11 al. 1 a contrario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