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MPU.2016.0027 vom 9. März 2017</w:t>
      </w:r>
    </w:p>
    <w:p>
      <w:r>
        <w:t>VD Tribunal cantonal, 2017-03-09, FR</w:t>
      </w:r>
    </w:p>
    <w:p>
      <w:r>
        <w:rPr>
          <w:b/>
        </w:rPr>
        <w:t xml:space="preserve">Quelle: </w:t>
      </w:r>
      <w:r>
        <w:t>https://mcp.opencaselaw.ch/entscheid/vd_omni_MPU.2016.0027</w:t>
      </w:r>
    </w:p>
    <w:p>
      <w:r>
        <w:t>FR: VD_OMNI MPU.2016.0027 du 9 mars 2017</w:t>
      </w:r>
    </w:p>
    <w:p>
      <w:r>
        <w:t>IT: VD_OMNI MPU.2016.0027 del 9 marzo 2017</w:t>
      </w:r>
    </w:p>
    <w:p>
      <w:pPr>
        <w:pStyle w:val="Heading2"/>
      </w:pPr>
      <w:r>
        <w:t>Regeste</w:t>
      </w:r>
    </w:p>
    <w:p>
      <w:r>
        <w:t>A.________ /Municipalité de Lausanne | Marché portant sur la fourniture d'une solution de dématérialisation des dossiers du personnel, divisé en deux lots distincts, mais pour lequel il était possible de soumissionner en formulant une offre globale. La recourante a déposé une offre globale, qui ne permettait pas à l'adjudicateur d'isoler le coût des prestations ayant trait spécifiquement au lot n°2. L'adjudicateur, qui a demandé des précisions à ce sujet, n'a pas abusé de son pouvoir d'appréciation en excluant l'offre de la recourante s'agissant du lot n°2, dans la mesure où les coûts indiqués n'incluaient pas toutes les prestations du marché litigieux (consid. 3). La recourante, qui demande la récusation de l'un des membres du comité d'évaluation, a tardé à soulever ce moyen. Les propos tenus à l'audience par le représentant de l'adjudicateur ne permettent pas de mettre en évidence son éventuelle prévention (consid. 5). Recours rejeté.</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II 165 consid. 5 p. 174, 457 consid. 4.2 p. 463; 136 V 362 consid. 3.4.2 p. 365). Le juge administratif n’entre pas en matière sur des conclusions qui vont au-delà de l’objet du litige qui lui est soumis (ATF 134 V 418 consid. 5.2.1 p. 426; 125 V 413 consid. 1a p. 414, et les références citées). b) Le marché litigieux est divisé en deux lots. Selon l’appel d’offres et les documents qui le complètent, les soumissionnaires avaient le choix de présenter une offre pour le lot n°1 ou pour le lot n°2, indépendamment l’un de l’autre, ou une offre pour les lots n°1 et 2. La recourante a présenté une offre pour le lot n°1 et pour le lot n°2. La décision attaquée porte à la fois sur le lot n°1, adjugé à B.________, et sur le lot n°2, adjugé à C.________. Elle prononce l’exclusion de la recourante pour le lot n°2. L’acte de recours ne contient pas de conclusions expresses. Il est difficile d’en déduire ce que la recourante cherche à obtenir en cas d’admission du recours. C’est la raison pour laquelle le juge instructeur a, le 25 octobre 2016, interpellé la recourante pour qu’elle précise ses conclusions, relativement au lot n°1. La recourante a répondu, le 31 octobre 2016, qu’elle ne demandait pas l’adjudication du lot n°1 en sa faveur. Il suffit d’en prendre acte. Le recours ne porte ainsi que sur l’exclusion de la recourante de la procédure relative à l’adjudication du lot n°2. Le Tribunal cantonal examine cette question avec un plein pouvoir d’examen (cf. arrêts MPU.2015.0057 du 20 janvier 2016, consid. 2b; MPU.2015.0007 du 21 mai 2015, consid. 2b; MPU.2013.0027 du 4 février 2014, consid. 3a, et les arrêts cités).</w:t>
      </w:r>
    </w:p>
    <w:p>
      <w:r>
        <w:rPr>
          <w:b/>
        </w:rPr>
        <w:t>E. 3</w:t>
      </w:r>
    </w:p>
    <w:p>
      <w:r>
        <w:t>a) La décision d’exclusion est attaquable séparément (art. 15 al. 1bis let. d AIMP; 10 al. 1 let. c LMP-VD).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arrêts MPU.2016.0002 du 18 avril 2016, consid. 2b; MPU.2015.0057 précité, consid. 3b; MPU.2015.0026 du 30 juin 2015, consid. 4b, et les arrêts cités). L’offre est intangible (art. 29 al. 3 RLMP-VD). La modification de l’offre par le soumissionnaire après son dépôt entraîne son exclusion (arrêts MPU.2013.0013 du 2 juillet 2014; MPU.2013.0027, précité; MPU.2013.0019 du 20 novembre 2013, et les arrêts cités). Cela étant, l’exclusion de la procédure doit se faire dans le respect du principe de la proportionnalité; elle ne peut se fonder sur des éléments mineurs, ou du moins, qui ne sont pas déterminants pour la décision d’adjudication (ATF 2C_418/2014 du 20 août 2014, consid. 4.2; 2D_34/2010 du 23 février 2011, consid. 2.3;  2C_197/2010 du 30 avril 2010, consid. 6.1 et 6.3; ATAF 2007/13 consid. 3.2 et 3.3; arrêts précités MPU.2016.0002, consid. 2b; MPU.2015.0057, consid. 3d; MPU.2015.0026, consid. 4b, et les arrêts cités). b) L’adjudicateur a exclu l’offre de la recourante relative au lot n°2, parce qu’en raison d’une mauvaise compréhension des documents d’appel d’offres, la recourante aurait présenté une offre ne permettant pas de déterminer le prix offert en fonction des lots. Selon l’adjudicateur, une modification de l’offre ou une reformulation de celle-ci, après son dépôt, ne serait pas possible au regard de l’art. 29 al. 3 RLMP-VD - d’où son exclusion. Dans sa réponse au recours, l’adjudicateur a précisé ses motifs. Il a retenu que l’offre de la recourante était globale, en ce sens que l’offre relative au lot n°1 ne serait pas dissociable de celle relative au lot n°2. Le 8 mars 2016, au lieu de répondre à la question posée dans le courrier électronique du 2 mars 2016, portant sur la possibilité pour la recourante de ne soumissionner que le lot n°2, celle-ci aurait présenté une nouvelle offre partielle, portant sur ce lot, ce qu’il ne serait pas permis de faire au regard de l’art. 29 al. 3 RLMP-VD. Cette modification de l’offre ressortait également de la réponse faite le 3 (recte: 6) juin 2016 par la recourante au questionnaire adressé par l’adjudicateur aux soumissionnaires. Dans cette réponse, la recourante aurait réservé des coûts supplémentaires liés à l’intégration des solutions proposées par les différents soumissionnaires, ce qui ne serait pas admissible. c) Est controversé en premier lieu le caractère indissociable ou non de l’offre de la recourante, selon les lots. La recourante a offert un prix pour chacun des deux lots, pris séparément (soit 282'193, 20 fr. pour le lot n°1 et 8'262 fr. pour le lot n°2). Ce mode de présentation de l’offre a suscité des doutes dans l’esprit de l’adjudicateur, lequel a, le 2 mars 2016, demandé à la recourante s’il était possible de ne retenir l’offre de la recourante que pour le lot n°2. La recourante a répondu affirmativement à cette question, le 8 mars 2016. Cela tendrait à confirmer que la recourante a soumissionné indifféremment pour le lot n°1 et le lot n°2. Dans l’acte de recours toutefois, la recourante a précisé que son offre pour le lot n°1 incluait des coûts (dont la nature n’est pas connue) pour le lot n°2. C’est la raison pour laquelle la recourante avait précisé le prix de l’offre pour le lot n°2, selon sa communication du 8 mars 2016, comme l’adjudicateur le lui avait au demeurant demandé, le 2 mars 2016. L’adjudicateur en a conclu que la recourante lui aurait présenté une nouvelle offre, partielle en ce sens qu’elle ne portait que sur le lot n°2, ce qu’il a jugé incompatible avec le principe de l’intangibilité de l’offre, ancré à l’art. 29 al. 3 RLMP-VD. Semble confirmer ce raisonnement le fait que la recourante a elle-même utilisé le terme d’offre partielle dans sa communication du 8 mars 2016. Pour l’adjudicateur, l’offre de la recourante devait dès lors être exclue en ce qu’elle concerne le lot n°2. Même à supposer que cette conception doive être partagée, il faudrait encore examiner si l’exclusion reste proportionnée. De son côté, la recourante soutient implicitement que l’on se trouvait au stade de l’épuration des offres, dans laquelle l’adjudicateur est libre d’interpeller les soumissionnaires pour obtenir d’eux des informations complémentaires, déterminer la portée exacte des prestations offertes, préciser certains aspects de celles-ci ou dissiper des malentendus liés à une mauvaise compréhension de l’offre ou de l’appel d’offres. d) L'art. 29 al. 3 RLMP-VD prévoit que l'offre ne peut plus être modifiée à l'échéance du délai. Cette disposition consacre le principe dit de l'intangibilité des offres, qui découle de l'interdiction des rounds de négociation (Galli/Moser/Lang/Steiner, Praxis des öffentlichen Beschaffungsrechts, 3 ème éd., Zurich/Bâle/Genève 2013, p. 312 ss). Cela vaut notamment pour les prix, les remises de prix ou les modifications de prestations (Poltier, Droit des marchés publics, Berne, 2014, p. 222). Il est toutefois admis que l'adjudicateur puisse corriger les effets d'une mauvaise compréhension de l'offre par un soumissionnaire, afin de rendre les offres comparables entre elles, par exemple en supprimant une plus-value sans objet (arrêts MPU.2016.0019 du 14 décembre 2016 consid. 3; MPU.2016.0026 du 23 novembre 2016 consid. 3a; MPU.2013.0027 du</w:t>
      </w:r>
    </w:p>
    <w:p>
      <w:r>
        <w:rPr>
          <w:b/>
        </w:rPr>
        <w:t>E. 4</w:t>
      </w:r>
    </w:p>
    <w:p>
      <w:r>
        <w:t>a) A l'audience, ainsi que dans le cadre de ses déterminations ultérieures, la recourante a formulé divers reproches, en relation avec le déroulement de la procédure. Elle a notamment critiqué le changement du planning communiqué aux soumissionnaires dans l'appel d'offres. On ne voit toutefois pas en quoi la modification des échéances initialement prévues aurait porté atteinte aux principes généraux des marchés publics, respectivement aux intérêts spécifiques de la recourante. Ce moyen doit dès lors être rejeté. b) La recourante semble également reprocher à l'autorité intimée une violation du principe de la transparence, dans la mesure où elle aurait pondéré, lors de l'évaluation, des critères qui n'avaient pas été annoncés dans l'appel d'offres. L'autorité intimée aurait en effet accordé, sans l'avoir indiqué préalablement, des "points bonus" aux offres globales, dans la mesure où elles présentaient l'avantage de ne poser aucune difficulté d'interfaçage. L'autorité intimée a précisé, dans ses déterminations, que cet aspect avait été pris en compte dans le cadre de la notation de la qualité technique de l'offre. La recourante ne retirerait aucun intérêt de l'admission de ce grief. Elle a en effet bénéficié d'une notation à son avantage dans le cadre de l'évaluation de son offre globale. La recourante ne conteste quoi qu'il en soit pas le fait que son offre globale ait été jugée économiquement moins intéressante qu'une adjudication séparée des deux lots. Ce grief est, partant, également mal fondé.</w:t>
      </w:r>
    </w:p>
    <w:p>
      <w:r>
        <w:rPr>
          <w:b/>
        </w:rPr>
        <w:t>E. 5</w:t>
      </w:r>
    </w:p>
    <w:p>
      <w:r>
        <w:t>Selon la recourante, E.________ aurait dû se récuser, en raison d'un conflit les ayant opposés dans le passé. a) Aux termes de l'art. 29 al. 1 Cst.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1C_127/2015 du 7 juillet 2015 consid. 3.1; 2C_831/2011 du 30 décembre 2011 consid. 3.1; ATF 127 I 196 consid. 2b p. 198; voir également s'agissant des autorités judiciaires, ATF 138 IV 142 consid. 2.1).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ne permettent pas de conclure à l'apparence de la partialité et ne justifient pas la récusation (ATF 125 I 119 consid. 3f , 125 I 209 consid. 8a; 2P.56/2004 du 4 novembre 2004 consid. 3.3). Une autorité a en revanche le devoir de se récuser lorsqu'il apparaît qu'elle s'est forgée une opinion inébranlable avant même d'avoir pris connaissance de tous les faits pertinents de la cause (ATF 1C_127/2015 du 7 juillet 2015 consid. 3.1; 1C_455/2010 du 7 janvier 2011 consid. 2.2 et les arrêts cités). Ces principes sont mis en oeuvre dans le canton de Vaud par l'art. 9 LPA-VD, à teneur duquel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Celui qui entend user de son droit de récusation doit le faire immédiatement après avoir pris connaissance du fait qu’il allègue à l’appui de sa demande (art. 10 al. 2 LPA-VD). Sous l’angle de la bonne foi, les prétentions que tirent les parties du droit de récusation s'éteignent par péremption lorsque le plaideur procède devant un juge ou une autorité en connaissance des faits pouvant justifier une récusation; en effet, l'intéressé accepte ainsi, de manière tacite, que la personne récusable exerce ses fonctions (ATF 134 I 20 consid. 4.3.1 p. 21; 132 II 485 consid. 4.3 p. 496/497; arrêts GE.2011.0030, précité, consid. 4b; GE.2010.0013 du 3 février 2011, consid. 4; GE.2008.0070 du 15 mai 2009, consid. 2). b) En l'occurrence, le dossier d'appel d'offres et le cahier des charges désignent tous deux E.________ en tant que mandant. La recourante, qui a échangé plusieurs courriers électroniques avec E.________, ne pouvait dès lors ignorer qu'il siégerait dans le comité d'évaluation des offres. Il lui appartenait de soulever l'éventuel motif de récusation avant que la décision d'adjudication ne soit rendue. En attendant l'audience du 1 er décembre 2016 pour soulever pour la première fois ce grief, la recourante intervient tardivement. On ne voit en outre pas en quoi les propos tenus par E.________ à l'audience auraient permis de mettre en évidence son éventuelle prévention. L'affirmation, selon laquelle l'offre du lot n°2 de la recourante n'avait pas été notée, n'est pas en contradiction avec les explications apportées par E.________ à l'audience. Celui-ci a en effet indiqué que l'offre de la société recourante avait été bien notée en ce qui concerne le lot n°2, précisant que sans l'exclusion, l'offre aurait remporté le marché. Cette explication doit être mise en relation avec la configuration particulière du marché, qui permettait aux soumissionnaires de formuler alternativement une offre globale ou une offre pour un seul des deux lots. La recourante a opté pour une offre globale, qui a été évaluée aussi bien en ce qui concerne le lot n°1 que le lot n°2. Il était dès lors aisé pour l'adjudicateur d'en déduire, sur la base des notes déjà attribuées, les conclusions formulées à l'audience.</w:t>
      </w:r>
    </w:p>
    <w:p>
      <w:r>
        <w:rPr>
          <w:b/>
        </w:rPr>
        <w:t>E. 6</w:t>
      </w:r>
    </w:p>
    <w:p>
      <w:r>
        <w:t>Le recours doit ainsi être rejeté et la décision attaquée confirmée. Un émolument est mis à la charge de la recourante, qui succombe. L'autorité intimée, qui obtient gain de cause avec l'assistance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