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MPU.2016.0024 vom 14. November 2016</w:t>
      </w:r>
    </w:p>
    <w:p>
      <w:r>
        <w:t>VD Tribunal cantonal, 2016-11-14, FR</w:t>
      </w:r>
    </w:p>
    <w:p>
      <w:r>
        <w:rPr>
          <w:b/>
        </w:rPr>
        <w:t xml:space="preserve">Quelle: </w:t>
      </w:r>
      <w:r>
        <w:t>https://mcp.opencaselaw.ch/entscheid/vd_omni_MPU.2016.0024</w:t>
      </w:r>
    </w:p>
    <w:p>
      <w:r>
        <w:t>FR: VD_OMNI MPU.2016.0024 du 14 novembre 2016</w:t>
      </w:r>
    </w:p>
    <w:p>
      <w:r>
        <w:t>IT: VD_OMNI MPU.2016.0024 del 14 novembre 2016</w:t>
      </w:r>
    </w:p>
    <w:p>
      <w:pPr>
        <w:pStyle w:val="Heading2"/>
      </w:pPr>
      <w:r>
        <w:t>Regeste</w:t>
      </w:r>
    </w:p>
    <w:p>
      <w:r>
        <w:t>A.________/Conseil régional du district de Nyon | Le 14 juin 2016, un appel d'offres portant sur la concession de l'exploitation d'un système de vélos en libre-service pour une durée de cinq ans a été publié, le délai de dépôt des offres étant fixé au 15 août 2016. Le 24 juin 2016, un soumissionnaire a posé dix-huit questions au pouvoir adjudicateur au sujet du marché en cause, auxquelles il a été répondu le 3 juillet 2016. En formant recours le 13 juillet 2016, le soumissionnaire a agi tardivement puisque contrairement à ce qu'il soutient, il était déjà en mesure et aurait dû recourir dans le délai de dix jours à compter de la publication. En effet, les griefs contenus dans son mémoire de recours ne sont qu'une reformulation des critiques déjà émises dans ses dix-huit questions. Quant à l'analyse des questions et réponses, elle révèle qu'aucune indication supplémentaire à celles contenues dans la documentation d'appel d'offres n'a été fournie au soumissionnaire. Il ne peut ainsi être suivi lorsqu'il allègue que c'est uniquement à la lecture des réponses qu'il aurait été en mesure d'apprécier la portée des exigences minimales du cahier des charges et, partant, de recourir en connaissance de cause. En définitive, ce ne sont pas tant les modalités de l'appel d'offres qui sont contestées que l'admissibilité à concourir de l'entreprise exploitant actuellement le système de vélos en libre-service objet du marché. Si cette situation soulève des difficultés analogues à celles posées par la problématique de la préimplication, le soumissionnaire ayant également eu connaissance de ce fait au moment de la publication, il aurait également dû réagir sans attendre et non pas près d'un mois plus tard. Irrecevabilité du recours.</w:t>
      </w:r>
    </w:p>
    <w:p>
      <w:pPr>
        <w:pStyle w:val="Heading2"/>
      </w:pPr>
      <w:r>
        <w:t>Erwägungen</w:t>
      </w:r>
    </w:p>
    <w:p>
      <w:r>
        <w:rPr>
          <w:b/>
        </w:rPr>
        <w:t>E. 1</w:t>
      </w:r>
    </w:p>
    <w:p>
      <w:r>
        <w:t>a) D'emblée, il convient de rappeler qu'il a déjà été jugé que l'installation d'un système de vélos en libre-service peut constituer un moyen de réaliser une tâche publique, par exemple lorsque cette prestation vise à promouvoir la mobilité douce en ville afin, notamment, de limiter les nuisances liées au trafic motorisé ou lorsqu'elle poursuit des buts similaires. Le seul fait qu'aucune rémunération de la part de l'autorité concédante ne soit expressément prévue en échange de la concession ne fait pas obstacle à l'existence d'un marché public; une prestation soumise au droit des marchés publics peut être rémunérée autrement que par le seul versement d'un prix. Enfin, les prestations que le concessionnaire doit fournir au titre du système de vélos en libre-service tombent dans le champ d'application des biens et des services visés par l'art. 6 de l’accord intercantonal du 25 novembre 1994 sur les marchés publics (A-IMP; RSV 726.91) (ATF 135 II 49 consid. 5.2.2; 2C_658/2016 du 25 août 2016 consid. 1.2.3 et 2C_1014/2015 du 21 juillet 2016 consid. 2.2.3). b) En l'espèce, selon le cahier des charges, le système actuel ne répond plus à la demande du public (ch. 2.1 du cahier des charges), raison pour laquelle une nouvelle infrastructure doit être mise en place, ayant notamment pour but de permettre une utilisation combinée des divers moyens de transport et de promouvoir le vélo comme moyen de déplacement efficace et écologique. En outre, le système devra être aisément compréhensible par tout public (habitants, touristes, pendulaires) et disponible en tout temps (ch. 2.1 et 8.1 du cahier des charges). En d'autres termes, la prestation en cause vise à accomplir une tâche publique en améliorant l'offre de mobilité douce, non seulement pour les pendulaires, mais également pour les habitants de la région et les visiteurs. La législation sur les marchés publics est en conséquence applicable, ce qui n'est au demeurant pas contesté par les parties.</w:t>
      </w:r>
    </w:p>
    <w:p>
      <w:r>
        <w:rPr>
          <w:b/>
        </w:rPr>
        <w:t>E. 2</w:t>
      </w:r>
    </w:p>
    <w:p>
      <w:r>
        <w:t>Avant d'entrer en matière, cas échéant, sur le fond, il s'impose de déterminer si le recours a été déposé dans le respect du délai applicable. a) A.________ (ci-après: la recourante) allègue qu'en déposant son recours le 13 juillet 2016, soit dix jours après réception des réponses apportées le 3 juillet 2016 par B.________ à ses questions, elle aurait respecté le délai de dix jours applicable. De son point de vue, ce serait uniquement après avoir pris connaissance du contenu de ces réponses, qu'elle aurait pu " apprécier la portée des exigences minimales du cahier des charges (article 4.1) " et ainsi identifier les défauts dont il aurait été affecté. Partant, ce n'est qu'à compter du 3 juillet 2016 qu'elle aurait été en mesure de recourir contre l'appel d'offres. Quant au conseil régional (ci-après: l'autorité intimée), il fait valoir que le recours serait tardif, dès lors qu'il a été déposé le 13 juillet 2016, soit près d'un mois après la publication de l'appel d'offres dans la FAO et sur la plateforme SIMAP le 14 juin 2016. b) Selon l'Exposé des motifs et projet de loi modifiant la loi du 24 juin 1996 sur les marchés publics, l'art. 10 LMP-VD " détaille toutes les décisions susceptibles de recours dans les 10 jours selon l'article 15 de l'AIMP révisé " (Bulletin du Grand Conseil, janvier 2014 p. 7123). En vertu des art. 15 al. 1 bis let. a A-IMP et 10 al. 1 let. a de la loi cantonale sur les marchés publics du 24 juin 1996 (LMP-VD; RSV 726.01), l'appel d'offres constitue notamment une décision sujette à recours dans le délai de 10 jours dès sa publication. En outre, les principes et les critères énoncés dans l'appel d'offres font généralement partie intégrante de celui-ci, si bien qu'ils doivent, en vertu du principe de la bonne foi, être contestés à ce stade de la procédure déjà, sous peine de forclusion ( cf . ATF 125 I 203 consid. 3a; TF 2C_107/2007 du 22 janvier 2008 consid. 2.1 et arrêts MPU.2016.0006 du 13 juillet 2016 consid. 3c; MPU.2015 du 20 janvier 2016 consid. 4b et MPU.2015.0007 du 21 mai 2015 consid. 3a). Il convient cependant de ne pas se montrer trop strict dans l'application de ce principe et de réserver les effets de la forclusion aux seules irrégularités qui sont particulièrement évidentes ou manifestes. Ainsi, elle ne peut être opposée à une partie que pour les irrégularités qu'elle a effectivement constatées ou, à tout le moins, qu'elle aurait dû constater en faisant preuve de l'attention commandée par les circonstances. On ne saurait de ce fait exiger que les soumissionnaires procèdent à un examen juridique approfondi de l'appel d'offres et des documents de l'appel d'offres, ce d'autant que leurs connaissances en ce domaine sont généralement limitées et le délai pour déposer les offres relativement court (ATF 130 I 241 consid. 4.3).</w:t>
      </w:r>
    </w:p>
    <w:p>
      <w:r>
        <w:rPr>
          <w:b/>
        </w:rPr>
        <w:t>E. 3</w:t>
      </w:r>
    </w:p>
    <w:p>
      <w:r>
        <w:t>dont le contenu était le suivant: "D.________ possède l'entier des documents financiers, dossier clientèle, dossier utilisation, dossier exploitant avec E.________, sponsor actuel, liste des entreprises et contacts, etc... à la lecture de ce document soit l'entier des candidats doivent obtenir ces documents soit D.________ est exclu de l'appel d'offre selon vos critères, quelle est votre position par rapport à cet état de fait ? ". A cet égard, la recourante précisait encore ce qui suit: " Pendant la procédure, le fait qu'un candidat possède ou ait pu obtenir une information ou un document de manière privilégiée par rapport aux autres candidats, représente une violation grave du principe de l'égalité de traitement et entraîne son exclusion immédiate de la procédure. " De la même manière, la recourante critiquait, dans sa question n o 4, le fait que la valeur des stations et des vélos n'était pas la même pour quelqu'un qui exploitait déjà le réseau " comme D.________ " que pour un concurrent. De plus, le délai d'une année aurait permis à D.________ d'exploiter le système actuel pendant une année sans procéder à aucune modification, contrairement à tout autre soumissionnaire potentiel. Selon elle, il s'agissait " du point de vue légal, d'une claire discrimination des soumissionnaires ", D.________ profitant d'un " avantage privilégié par rapport aux autres concurrents " contraire à l'art. 6 al. 1 let. a LMP-VD. De ce fait, elle concluait par cette "question": "D.________ possède un avantage certain vis-à-vis de ses concurrents, ceci en violation de la loi sur les marchés publics LMP-VD notamment y a-t-il discrimination et inégalité de traitement? ". cc) Il se déduit de cette similitude des griefs formulés dans ses questions du 24 juin 2016, d'une part, et dans son pourvoi, d'autre part, qu'au moment de poser ses questions, la recourante avait déjà tous les éléments en mains pour recourir en connaissance de cause au moment de l'appel d'offres. En outre, la formulation même des questions révèle qu'elle avait manifestement procédé à un examen approfondi de ce dernier, puisqu'elle était en mesure d'invoquer les dispositions légales que le pouvoir adjudicateur avait à son sens violées et qu'elle a reprises dans son pourvoi. Dans ces conditions, elle était forclose à invoquer ces mêmes arguments le 13 juillet 2016, le délai de recours étant largement échu. D'ailleurs, si les formulations utilisées avaient, de par leur ponctuation, un caractère interrogatif, leur contenu n'en demeurait pas moins affirmatif quant aux prétendues violations du droit des marchés publics et aux conséquences qui devaient, selon la recourante, en résulter (p. ex. à la question 3: "D.________ possède l'entier des documents financiers, dossier clientèle, […] etc… à la lecture de ce document soit l'entier des candidats doivent obtenir ces documents soit D.________ est exclu de l'appel d'offre selon vos critères, quelle est votre position par rapport à cet état de fait? ; à la question 4: "[…] il s'agit du point de vue légal d'une claire discrimination des soumissionnaires. […] D.________ profite d'un avantage privilégié par rapport aux autres concurrents. ", ou encore, à la même question: "D.________ possède un avantage certain vis à vis de ses concurrents, ceci en violation de la loi sur les marchés publics LMP-VD notamment y a-t-il discrimination et inégalité de traitement? "). Cette forclusion se justifie d'autant plus que la recourante ne cherchait manifestement pas, en déposant ses questions, à obtenir des explications ou des clarifications concernant le marché en cause, ce que vise pourtant l'institution des questions au pouvoir adjudicateur ( cf . Etienne Poltier, Droit des marchés publics, Berne 2014, p. 175). Elle désirait en réalité obtenir, sur la base d'une argumentation juridique, l'exclusion de D.________ ou, à tout le moins, la reconnaissance par le pouvoir adjudicateur de l'existence d'une inégalité de traitement. Or ces objectifs devaient être atteints, cas échéant, par la voie d'un recours contre l'appel d'offres. b) La seconde raison pour laquelle l'argumentation de la recourante ne saurait être suivie découle de l'examen du contenu des questions de la recourante et des réponses apportées par l'adjudicateur. Il en ressort qu'aucune indication supplémentaire permettant effectivement à la recourante d'apprécier de manière plus approfondie la portée des exigences minimales du cahier des charges ne lui a été fournie dans ce cadre. Sur la base des documents d'appel d'offres qui étaient suffisamment clairs, elle en avait au contraire déjà parfaitement saisi les contours le 24 juin 2016. aa) Au soutien de son argumentation, la recourante a repris une à une les questions qui, à son sens, auraient constitué des clarifications essentielles et nécessaires au dépôt de son recours. Il s'agit en premier lieu de la réponse à la question n o</w:t>
      </w:r>
    </w:p>
    <w:p>
      <w:r>
        <w:rPr>
          <w:b/>
        </w:rPr>
        <w:t>E. 4</w:t>
      </w:r>
    </w:p>
    <w:p>
      <w:r>
        <w:t>qui lui aurait permis de comprendre que le système actuel pourrait être exploité durant la première année de la concession et qu'aucune indemnité ne serait versée pour l'enlèvement de l'infrastructure existante par le nouveau concessionnaire. Cette affirmation contredit toutefois sa question n o 4, qui démontre qu'elle avait clairement conscience que le système actuel pourrait encore être exploité durant la première année de la concession, puisqu'elle écrivait: " Pendant 364 jours dès le 1er mai 2017 selon le cahier des charges 4.1 exigences minimales, la société actuelle D.________, peut sans aucune modification, exploiter ses stations sans en modifier l'architecture, l'emplacement, l'ergonomie etc..., en détenant l'entier des droits sur le système actuel Bicincitta ou Sycube. […] Il est impossible pour un autre concurrent d'utiliser ces infrastructures, les accès ne seront pas délivrés par D.________ et comme tout le monde le sait ce système est devenu obsolète. […]". Il en va de même concernant le versement d'une éventuelle indemnité. Le cahier des charges était à cet égard suffisamment clair, puisqu'il indiquait expressément sous ch. 4.3. qu'" aucune contrepartie financière ou [autre] contre-prestations " que la participation aux frais du vélopasseur ne serait fournie au concessionnaire. Il était de plus spécifié que la concession incluait " la reprise des installations existantes, la planification, le financement, l'amélioration, le développement, la construction, l'exploitation et la maintenance du système de vélos en libre-service du concessionnaire pendant la durée de la concession. " Par ailleurs, le fait de demander au pouvoir adjudicateur s'il ne devait pas faire " table rase et demander clairement un nouveau système de VLS sans reprise de l'ancien système, démontage de ce système à vos frais " démontre que la recourante avait parfaitement conscience que le démontage devrait être effectué à ses propres frais et donc sans indemnité. bb) En second lieu, la recourante allègue que les réponses aux questions n os 8, 11, 12 et 15 auraient été déterminantes pour sa compréhension de l'appel d'offres et pour le dépôt de son mémoire. D'un point de vue chronologique, on ne voit cependant pas que tel ait effectivement pu être le cas, étant rappelé que la recourante ne s'en est prévalue que dans ses déterminations du 23 septembre 2016, soit postérieurement à l'audience d'instruction du 5 septembre 2016 et plus de deux mois après le dépôt de son recours. Quoi qu'il en soit, la réponse négative à la question n o</w:t>
      </w:r>
    </w:p>
    <w:p>
      <w:r>
        <w:rPr>
          <w:b/>
        </w:rPr>
        <w:t>E. 8</w:t>
      </w:r>
    </w:p>
    <w:p>
      <w:r>
        <w:t>portant sur le versement d'une éventuelle indemnisation du matériel manquant ou détérioré lors de la reprise de l'infrastructure existante n'a pas été déterminante, pour les motifs déjà exposés ci-dessus (consid. 3b.aa). Concernant la question n o</w:t>
      </w:r>
    </w:p>
    <w:p>
      <w:r>
        <w:rPr>
          <w:b/>
        </w:rPr>
        <w:t>E. 11</w:t>
      </w:r>
    </w:p>
    <w:p>
      <w:r>
        <w:t>relative aux " Eléments électromagnétiques ", le pouvoir adjudicateur a retiré cet élément ensuite de la question posée, de sorte qu'elle ne saurait avoir eu une influence sur le dépôt du recours. S'agissant de la question n o 12, le fait que B.________ ait confirmé que la subvention devrait être intégralement reversée à E.________ ressortait déjà du ch. 5.2 de l'appel d'offres. Ce dernier mentionnait la participation financière maximum de l'autorité concédante " aux frais du vélopasseur ", calculée pour 24 stations et 200 vélos. Au surplus, la recourante n'en déduit aucune violation du droit des marchés publics, de sorte qu'elle n'est pas pertinente. En lien avec la question n o</w:t>
      </w:r>
    </w:p>
    <w:p>
      <w:r>
        <w:rPr>
          <w:b/>
        </w:rPr>
        <w:t>E. 15</w:t>
      </w:r>
    </w:p>
    <w:p>
      <w:r>
        <w:t>enfin, le fait que le pouvoir adjudicateur refuse de prolonger une concession de sept ans à la demande de la recourante n'a manifestement eu aucune incidence sur le contenu de l'appel d'offres très clair à cet égard, qui mentionnait une concession de cinq ans uniquement. Il suit de ce qui précède que, contrairement à l'avis de la recourante, les différentes réponses apportées à ses questions n'ont pas été déterminantes pour l'appréciation de l'appel d'offres, dont elle avait parfaitement saisi la portée le 24 juin 2016 déjà. 4. Par surabondance, on soulignera que l'entier de l'argumentation de la recourante vise à démontrer qu'il existe une inégalité de traitement entre D.________ et tout autre soumissionnaire potentiel. C'est en particulier ce qui ressort de son mémoire de recours dans lequel elle expose avoir " un intérêt […] digne de protection [à faire] annuler l'appel d'offres, afin qu'elle puisse y participer sur un pied d'égalité avec sa concurrente D.________ SA ". En l'absence d'admission de cette dernière à la procédure d'appel d'offres, les griefs de la recourante n'auraient ainsi plus de portée. C'est d'ailleurs la raison pour laquelle la recourante se satisferait de l'exclusion de D.________, conformément à ses conclusions subsidiaires. Il s'ensuit que ce ne sont donc pas tant les diverses modalités de l'appel d'offres évoquées précédemment qui sont critiquées, que le principe même de l'admissibilité à concourir de D.________. Il est légitime de s'interroger sur la possibilité à concourir d'une entreprise précédemment au bénéfice d'un mandat dans le cadre du renouvellement d'une concession. Une telle situation soulève en effet des difficultés analogues à celles posées par la problématique de la préimplication ( Poltier, op. cit. , p. 173), étant entendu que l'entreprise concernée pourrait disposer d'informations supplémentaires de nature à fausser la concurrence. En l'occurrence cependant, la recourante en a eu connaissance dès les publications dans la FAO et sur la plate-forme SIMAP, lesquelles indiquaient que "[l] 'entreprise D.________ [était] actuellement active sur ce marché [mais que] n'ayant nullement participé à l'élaboration du cahier des charges et des documents d'appel d'offres, tant techniquement qu'administrativement, elle [était] autorisée à participer à la présente procédure. " Sous cet angle également, la recourante est donc forclose, puisqu'elle aurait immédiatement dû attaquer l'admission de D.________ à la procédure dès la connaissance de cette information. 5. En dernier lieu, la recourante se prévaut des informations complémentaires communiquées le 15 juillet 2016 par B.________, qui auraient selon elle fait partir un nouveau délai de recours. Cela étant, les indications fournies à cette occasion ont uniquement trait à des éléments techniques du vélopasseur E.________, dont on ne voit pas qu'ils constituent des éléments essentiels à la compréhension du cahier des charges. Quoi qu'il en soit, cela importe peu, puisqu'en aucun cas cette communication postérieure au dépôt du recours ne pouvait faire "renaître" le délai de recours concernant les griefs pour lesquels la recourante était déjà forclose conformément aux considérants qui précèdent. De même, on distingue mal que cette communication puisse être considérée comme une décision attaquable dans un délai de dix jours en vertu des art. 15 al. 1 bis let. a A-IMP et 10 al. 1 let. a LMP-VD, ce que la recourante ne prétend au demeurant pas. 6. Au vu des considérants qui précèdent, le recours formé tardivement est irrecevable. Vu l'issue du pourvoi, les frais seront mis à la charge de la recourante, qui succombe (art. 49 al. 1, 91 et 99 LPA-VD). Elle devra par ailleurs verser des dépens à l'autorité intimée, qui a procédé par l'intermédiaire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