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MPU.2016.0006 vom 20. Juni 2016</w:t>
      </w:r>
    </w:p>
    <w:p>
      <w:r>
        <w:t>VD Tribunal cantonal, 2016-06-20, FR</w:t>
      </w:r>
    </w:p>
    <w:p>
      <w:r>
        <w:rPr>
          <w:b/>
        </w:rPr>
        <w:t xml:space="preserve">Quelle: </w:t>
      </w:r>
      <w:r>
        <w:t>https://mcp.opencaselaw.ch/entscheid/vd_omni_MPU.2016.0006</w:t>
      </w:r>
    </w:p>
    <w:p>
      <w:r>
        <w:t>FR: VD_OMNI MPU.2016.0006 du 20 juin 2016</w:t>
      </w:r>
    </w:p>
    <w:p>
      <w:r>
        <w:t>IT: VD_OMNI MPU.2016.0006 del 20 giugno 2016</w:t>
      </w:r>
    </w:p>
    <w:p>
      <w:pPr>
        <w:pStyle w:val="Heading2"/>
      </w:pPr>
      <w:r>
        <w:t>Regeste</w:t>
      </w:r>
    </w:p>
    <w:p>
      <w:r>
        <w:t>X.________ SA/Municipalité de Crissier, Y.________ SA | L'autorité d'adjudication n'avait pas à tenir compte, pour déterminer le prix de l'offre de la recourante, de l'escompte proposé à 18% en cas de paiement à 15 jours sur "situation". Un tel délai s'écarte, à l'avantage de la recourante, du dossier d'appel d'offres et des normes SIA 118, auxquelles il était renvoyé. Les reproches de la recourante en lien avec la notation n'ont pas à être examinés, l'écart avec l'offre de l'adjudicataire étant trop important pour permettre l'adjudication du marché à la recourante. Recours rejeté.</w:t>
      </w:r>
    </w:p>
    <w:p>
      <w:pPr>
        <w:pStyle w:val="Heading2"/>
      </w:pPr>
      <w:r>
        <w:t>Erwägungen</w:t>
      </w:r>
    </w:p>
    <w:p>
      <w:r>
        <w:rPr>
          <w:b/>
        </w:rPr>
        <w:t>E. 1</w:t>
      </w:r>
    </w:p>
    <w:p>
      <w:r>
        <w:t>La matière est régie par l’accord intercantonal du 25 novembre 1994 sur les marchés publics (A-IMP; RSV 726.91), ainsi que par la loi cantonale du 24 juin 1996 sur les marchés publics (LMP-VD; RSV 726.01) et le règlement du 7 juillet 2004 y relatif (RLMP-VD; RSV 726.01.1).</w:t>
      </w:r>
    </w:p>
    <w:p>
      <w:r>
        <w:rPr>
          <w:b/>
        </w:rPr>
        <w:t>E. 2</w:t>
      </w:r>
    </w:p>
    <w:p>
      <w:r>
        <w:t>Il convient d'examiner en premier lieu si la recourante, classée neuvième, a la qualité pour recourir.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(cf. ATF 141 II 14 consid. 4.1 p. 27; 2D_39/2014 du 26 juillet 2014 consid. 1.1; 2D_49/2011 du 25 septembre 2012 consid. 1.3.2; 2C_107/2007 du 22 janvier 2008 consid. 1.2). A moins que l'intérêt du soumissionnaire évincé à contester l'adjudication paraisse évident, il incombe à ce dernier de le démontrer (ATF 140 I 285 consid. 1.1.2 p. 289 s.; 2C_634/2008 du 11 mars 2009 consid. 1.3).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14 consid. 4.5 p. 30). Dans le cadre de la procédure cantonale, la qualité pour recourir doit respecter les exigences minimales de l' art. 89 LTF (ATF 141 II 307 consid.</w:t>
      </w:r>
    </w:p>
    <w:p>
      <w:r>
        <w:rPr>
          <w:b/>
        </w:rPr>
        <w:t>E. 6</w:t>
      </w:r>
    </w:p>
    <w:p>
      <w:r>
        <w:t>Il suit de ce qui précède que le recours doit être rejeté et la décision attaquée confirmée. Les frais sont mis à la charge de la recourante, qui succombe. La recourante versera en outre une indemnité de dépens à l'autorité intimée, qui obtient gain de cause avec l'assistance d'un avocat. L'adjudicataire, qui n'est pas intervenue dans la procédure,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