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MPU.2015.0012 vom 30. Juni 2015</w:t>
      </w:r>
    </w:p>
    <w:p>
      <w:r>
        <w:t>VD Tribunal cantonal, 2015-06-30, FR</w:t>
      </w:r>
    </w:p>
    <w:p>
      <w:r>
        <w:rPr>
          <w:b/>
        </w:rPr>
        <w:t xml:space="preserve">Quelle: </w:t>
      </w:r>
      <w:r>
        <w:t>https://mcp.opencaselaw.ch/entscheid/vd_omni_MPU.2015.0012</w:t>
      </w:r>
    </w:p>
    <w:p>
      <w:r>
        <w:t>FR: VD_OMNI MPU.2015.0012 du 30 juin 2015</w:t>
      </w:r>
    </w:p>
    <w:p>
      <w:r>
        <w:t>IT: VD_OMNI MPU.2015.0012 del 30 giugno 2015</w:t>
      </w:r>
    </w:p>
    <w:p>
      <w:pPr>
        <w:pStyle w:val="Heading2"/>
      </w:pPr>
      <w:r>
        <w:t>Regeste</w:t>
      </w:r>
    </w:p>
    <w:p>
      <w:r>
        <w:t>A.________ SA/EMS B.________, D.________ SA | Marché public portant sur les travaux de construction d'un nouvel EMS. L'autorité intimée a modifié après l'ouverture des offres une des échelles d'évaluation qu'elle avait préalablement établie. Cette modification a eu une incidence sur le résultat final, puisque la recourante aurait dû arriver en première position si l'échelle initiale avait été appliquée. Recours admis et adjudication du marché à la recourante.</w:t>
      </w:r>
    </w:p>
    <w:p>
      <w:pPr>
        <w:pStyle w:val="Heading2"/>
      </w:pPr>
      <w:r>
        <w:t>Erwägungen</w:t>
      </w:r>
    </w:p>
    <w:p>
      <w:r>
        <w:rPr>
          <w:b/>
        </w:rPr>
        <w:t>E. 1</w:t>
      </w:r>
    </w:p>
    <w:p>
      <w:r>
        <w:t>Déposé dans les délai et forme prescrits (art. 10 de la loi vaudoise du 24 juin 1996 sur les marchés publics [LMP-VD; RSV 726.01]), le recours est recevable. En outre, en tant que soumissionnaire évincé, la recourante a incontestablement la qualité pour recourir. Il y a donc lieu d'entrer en matière.</w:t>
      </w:r>
    </w:p>
    <w:p>
      <w:r>
        <w:rPr>
          <w:b/>
        </w:rPr>
        <w:t>E. 2</w:t>
      </w:r>
    </w:p>
    <w:p>
      <w:r>
        <w:t>En matière de marchés publics, le pouvoir d’examen du tribunal dépend de la nature des griefs invoqués. L'adjudicateur dispose d'une grande liberté d'appréciation, à tous les stades de la procédure, s’agissant notamment de l’évaluation des offres (arrêts MPU.2015.0005 du 12 mai 2015 consid. 2; MPU.2014.0016 du 26 août 2014 consid. 1c; MPU.2014.0008 du 21 juillet 2014 consid. 1d et les arrêts cités). Ce pouvoir n'est limité que par l'interdiction de l'arbitraire; c'est seulement s'il est confronté à un abus ou à un excès de ce pouvoir d'appréciation, partant à une violation grossière du texte de loi et de sa réglementation d'application, que le tribunal intervient. E n revanche, il contrôle librement l’application des règles destinées à assurer la régularité de la procédure (ATF 125 II 86 consid. 6 p. 98/99; arrêts précités MPU.2015.0005 consid. 2; MPU.2014.0016 consid. 1c; MPU.2014.008 consid. 1d et les arrêts cités).</w:t>
      </w:r>
    </w:p>
    <w:p>
      <w:r>
        <w:rPr>
          <w:b/>
        </w:rPr>
        <w:t>E. 3</w:t>
      </w:r>
    </w:p>
    <w:p>
      <w:r>
        <w:t>La recourante conteste la note qui lui a été attribuée au critère 2, soit celui du planning et de l'organisation pour l'exécution du marché. Ce critère est subdivisé en trois sous-critères: planning détaillé, ressources pour le chantier et qualification des personnes-clés. a) planning détaillé: Pour ce sous critère, la recourante a reçu la note de 1 et l'adjudicataire la note de 4. Selon le dossier d'appel d'offres (ch. 5.9.2), les soumissionnaires devaient remettre un planning détaillé des travaux, précisant notamment les effectifs et le matériel envisagé, les éventuels délais de commande et de fabrication en atelier. La recourante s'est limitée à contresigner le planning d'intention établi par le mandataire technique de l'intimée, sans apporter d'autres précisions. L'adjudicataire a pour sa part fourni un planning très détaillé, mentionnant notamment le déroulement de la construction étage par étage. Elle a précisé en outre les moyens engagés et la main d'oeuvre fournie. Elle a prévu par ailleurs un délai d'exécution plus court que celui planifié. Dans ses écritures, la recourante fait valoir qu'en contresignant le planning d'intention établi par le mandataire de l'intimée, " elle s'est engagé fermement à débuter et à terminer les travaux selon les dates prévues par l'intimée et s'engage à respecter les délais de résiliation des travaux qui seront fixés d'entente avec la DT ". Selon sa lecture des conditions d'appel d'offres, le planning détaillé des travaux est établi par la Direction des travaux en collaboration avec l'entreprise. La recourante se réfère à cet égard aux chiffres 9.10, 7.11.1, 9.2.3 et 9.3.8 du dossier d'appel d'offres qui prévoient que: " Le planning d'exécution détaillé sera élaboré par la DT, en collaboration avec l'entreprise ". D'après elle, elle n'aurait pas respecté la demande de l'intimée en fournissant un planning détaillé des délais. Comme le relève l'intimée, la recourante confond là manifestement " planning prévisionnel " et " planning d'exécution ". Le planning demandé était un planning prévisionnel. Comme l'ont expliqué les représentants de l'intimée à l'audience, l'objectif de cette exigence est de s'assurer que l'entreprise a bien appréhendé tous les aspects du marché et que son offre est cohérente sur ce point. Or, un tel contrôle est impossible, si les soumissionnaires se limitent, comme la recourante, à contresigner le planning d'intention. On ne saurait par ailleurs exiger du pouvoir adjudicateur qu'il recherche les informations utiles, notamment sur les effectifs et le matériel envisagé, dans d'autres documents de l'offre de la recourante. Le ch. 5.9.2 du dossier d'appel d'offres est en effet clair sur ce point: c'est le " planning détaillé " qui doit préciser ces éléments. Au regard de ces éléments, la note de 1 attribuée à la recourante apparaît justifiée, ou à tout le moins pas arbitraire. Elle correspond à la note prévue par l'échelle de notation pour ce cas de figure (voir document " Evaluation des offres selon les critères d'adjudication " produit après l'audience, ch. 2.3: " La note de 1 est attribuée si l'entreprise n'a pas remis de planning détaillé mais qu'elle a signé le planning d'intention de l'appel d'offres "). Quant à la note de 4 obtenue par l'adjudicataire, elle apparaît également justifiée, compte tenu du délai d'exécution raccourci proposé, avantage qui doit être récompensé par une note supérieure à 3. b) ressources pour le chantier: Pour ce sous-critère, la recourante, comme l'adjudicataire, ont reçu la note de 3. Dans sa réponse, l'intimée relève que la recourante a répondu aux attentes minimales, mais n'a présenté aucun avantage particulier par rapport aux autres candidats. La recourante conteste cette appréciation. Dans son rapport d'évaluation du 4 février 2015, le mandataire technique de l'intimée a précisé l'échelle de notation qu'il avait appliquée (celle-ci correspond à celle figurant dans le document " Evaluation des offres selon les critères d'adjudication " produit après l'audience): "La note de 3 est attribuée lorsque les effectifs prévus correspondent au marché. Une note inférieure est attribuée lorsque les effectifs prévus sont insuffisants. Une note supérieure est attribuée lorsque les effectifs prévus permettent d'accélérer les travaux. Une note de 0 si aucune information n'a été fournie." Il ressort du dossier que la recourante et l'adjudicataire ont proposé des équipes équivalentes, comprenant entre dix et quinze personnes. Dans ces conditions, le fait de leur avoir attribué la même note apparaît justifié, ou à tout le moins pas arbitraire. c) qualification des personnes-clés: Pour ce sous-critère, la recourante, comme l'adjudicataire, ont reçu la note de 3. Dans sa réponse, l'intimée relève que la recourante a répondu aux attentes minimales, mais n'a présenté aucun avantage particulier par rapport aux autres candidats. La recourante conteste cette appréciation. Dans son rapport d'évaluation du 4 février 2015, le mandataire technique de l'intimée a précisé l'échelle de notation qu'il avait appliquée (celle-ci correspond à celle figurant dans le document " Evaluation des offres selon les critères d'adjudication " produit après l'audience): "Une note de 3 est attribuée lorsque les qualifications sont en adéquation avec la mission. Une note inférieure est attribuée lorsque les qualifications ne sont pas suffisantes. Une note supérieure est attribuée lorsque les qualifications sont supérieures à l'objectif." Il ressort du dossier que la recourante a prévu M. R. Q.________, né en 1971, comme conducteur des travaux et M. S. T.________ U.________, né en 1963, comme contremaître. Selon le curriculum vitae produit, M. Q.________ dispose d'un CFC de maçon, d'un diplôme d'ingénieur ETS en génie civil, d'un diplôme d'ingénieur sécurité, ainsi que d'une expérience de plus 25 ans dans la construction. M. T.________ U.________, pour sa part, dispose d'un CFC de maçon et d'une expérience de plus de 30 ans dans la construction. Pour la recourante, les qualifications de M. Q.________ (ingénieur ETS en génie civil et ingénieur sécurité) auraient dû justifier une meilleure note. Sans doute, comme le relève l'autorité intimée, de telles qualifications ne sont pas nécessaires pour la réalisation du marché en cause, qui est basique comme l'admettent la recourante et les autres parties. Elles présentent néanmoins des avantages particuliers, qui auraient dû être récompensés par une note supérieure à 3. On se trouve précisément dans l'hypothèse visée par l'échelle de notation, à savoir celle où les qualifications des personnes-clés proposées sont " supérieures à l'objectif ". La recourante aurait dû sur cette base obtenir une note de 4 pour ce sous-critère. On peut se demander si l'adjudicataire devrait également se voir attribuer la note de 4, dans la mesure où elle a proposé elle aussi un ingénieur civil en la personne de M. V. W.________ comme personnes-clés. Ce dernier n'est toutefois pas titulaire d'un diplôme suisse, mais portugais. Il ne dispose par ailleurs pas d'un diplôme d'ingénieur sécurité. Il a de plus beaucoup moins d'expérience que M. Q.________. Compte tenu de ces différences, un écart d'un point entre la recourante et l'adjudicataire apparaîtrait justifié. Point n'est besoin toutefois de trancher définitivement cette question, dans la mesure où l'adjudicataire doit être pénalisée sur la notation d'un autre critère, comme on le verra ci-après.</w:t>
      </w:r>
    </w:p>
    <w:p>
      <w:r>
        <w:rPr>
          <w:b/>
        </w:rPr>
        <w:t>E. 4</w:t>
      </w:r>
    </w:p>
    <w:p>
      <w:r>
        <w:t>La recourante conteste également la note qui lui a été attribuée au critère 5, soit celui des références. Pour ce critère, la recourante, comme l'adjudicataire, ont obtenu la note de 4. Selon le dossier d'appel d'offres (ch. 5.9.2), " [l] es références choisies doivent être en cours de réalisation ou réalisées depuis moins de 10 ans. Elles sont considérées comme similaires lorsque l'affectation est similaire (EMS) et qu'elles sont réalisées selon les standard Minergie P-Eco." Dans son rapport d'évaluation du 4 février 2015, le mandataire technique de l'intimée a précisé l'échelle de notation qu'il avait appliquée: "La note de 3 est attribuée lorsque l'entreprise présente 3 références, dont 1 EMS. La note de 4 est attribuée lorsque l'entreprise présente 3 références, dont 1 ou plusieurs EMS et d'autres projets d'ampleurs et de qualité similaires. La note de 5 est attribuée lorsque l'entreprise présente 3 références EMS et Minergie P-Eco. La note de 2 est attribuée lorsque l'entreprise présente 3 références sans aucun EMS, mais que les projets sont d'ampleurs similaires. La note de 1 est attribuée lorsque l'entreprise présente 3 références sans aucun EMS, et pas tous de même ampleur." Cette échelle ne correspond toutefois pas exactement à celle figurant dans le document " Evaluation des offres selon les critères d'adjudication " produit après l'audience. En effet, selon ce dernier document, pour obtenir la note de 4, l'entreprise devait fournir trois références, dont " 2 EMS [souligné par le rédacteur] et un autre projet d'ampleur et de qualité similaires ". Force est ainsi de constater que l'autorité intimée s'est écartée après l'ouverture des offres des critères qu'elle avait préalablement établis, violant ainsi les principes de transparence et non-discrimination. Selon la jurisprudence, une violation du principe de transparence n’entraîne l’annulation de l’adjudication que pour autant que les vices constatés aient effectivement influé sur le résultat (arrêts MPU.2015.0001 du 18 juin 2015 consid. 6a; MPU.2013.0019 du 20 novembre 2013 consid. 2b; GE.2007.0246 consid. 3a et les arrêts cités). Or, dans le cas particulier, la modification de l'échelle de notation a précisément eu une incidence sur le classement des soumissionnaires. En effet, à la différence de la recourante qui sur ses six références a présenté au moins deux EMS (Foyer 4********, à 5********; Résidences 6********, à 7********; Résidences 8********, à 9********), l'adjudicataire n'en a fourni qu'un (EMS " 10******** ", à 11********), ses deux autres références étant des bâtiments locatifs et administratifs (Immeuble " 12******** ", à 13********; agrandissement de 14********, à 15********). Il n'est au demeurant pas contesté que les autres références de la recourante et de l'adjudicataire entrent dans la catégorie des " projets d'ampleur et de qualité similaires ". Selon l'échelle de notation initiale, l'adjudicataire aurait ainsi dû se voir attribuer la note de 3 et non de 4. Or cette différence d'un point suffit à inverser le résultat final, la recourante arrivant en première position avec 4.11 points (4.030 + 0.08 au sous-critère 2.2) contre 3.908 points (4.058 – 0.15), voire 3.988 (cf. supra consid. 3 in fine ), pour l'adjudicataire qui rétrograde au 4 ème rang.</w:t>
      </w:r>
    </w:p>
    <w:p>
      <w:r>
        <w:rPr>
          <w:b/>
        </w:rPr>
        <w:t>E. 5</w:t>
      </w:r>
    </w:p>
    <w:p>
      <w:r>
        <w:t>On relèvera encore que les représentants de l'intimée ont affirmé à l'audience que les échelles de notation avaient été établies avant l'ouverture des offres. Or, le document " Evaluation des offres selon les critères d'adjudication " produit porte la date du 17 décembre 2014, soit cinq jours après la date pour le dépôt des offres. Cela laisse ainsi entendre que les critères pour la fixation des notes pourraient n'avoir pas été définitivement arrêtés avant l'ouverture des offres. Or, il est rappelé que les principes de transparence et de non-discrimination commandent que les " règles du jeu " soient établis avant le dépôt des offres pour éviter tout soupçon de manipulation du marché (voir notamment Etienne Poltier, Droit des marchés publics, Berne 2014, p. 161 ss; arrêts MPU.2015.0005 du 12 mai 2015 consid. 3a et MPU.2014.0004 du 27 août 2014 consid. 8c).</w:t>
      </w:r>
    </w:p>
    <w:p>
      <w:r>
        <w:rPr>
          <w:b/>
        </w:rPr>
        <w:t>E. 6</w:t>
      </w:r>
    </w:p>
    <w:p>
      <w:r>
        <w:t>Les considérants qui précèdent conduisent à l'admission du recours et à la réforme de la décision attaquée, en ce sens que le marché litigieux est adjugé à la recourante. L'autorité intimée, qui succombe, supportera seule les frais de justice, l'adjudicataire n'ayant pas pris de conclusions formelles (art. 49 al. 1 LPA-VD). Elle versera par ailleurs des dépens à la recourante, qui a procédé par l'intermédiaire d'un mandataire professionnel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