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MPU.2012.0008 vom 20. Juni 2012</w:t>
      </w:r>
    </w:p>
    <w:p>
      <w:r>
        <w:t>VD Tribunal cantonal, 2012-06-20, FR</w:t>
      </w:r>
    </w:p>
    <w:p>
      <w:r>
        <w:rPr>
          <w:b/>
        </w:rPr>
        <w:t xml:space="preserve">Quelle: </w:t>
      </w:r>
      <w:r>
        <w:t>https://mcp.opencaselaw.ch/entscheid/vd_omni_MPU.2012.0008</w:t>
      </w:r>
    </w:p>
    <w:p>
      <w:r>
        <w:t>FR: VD_OMNI MPU.2012.0008 du 20 juin 2012</w:t>
      </w:r>
    </w:p>
    <w:p>
      <w:r>
        <w:t>IT: VD_OMNI MPU.2012.0008 del 20 giugno 2012</w:t>
      </w:r>
    </w:p>
    <w:p>
      <w:pPr>
        <w:pStyle w:val="Heading2"/>
      </w:pPr>
      <w:r>
        <w:t>Regeste</w:t>
      </w:r>
    </w:p>
    <w:p>
      <w:r>
        <w:t>X.________/Municipalité de Payerne, Y.________SA | Irrecevabilité du recours, pour défaut de motivation suffisante. L'acte de recours ne contient aucun argument topique, relatif aux éléments de la décision. La recourante a disposé de l'occasion de remédier à ce défaut; elle ne l'a pas saisie.</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a) L’acte de recours doit indiquer ses motifs (art. 79 al. 1 de la loi du 28 octobre 2008 sur la procédure administrative – LPA-VD, RSV 173.36). Il s’ensuit pour le recourant le devoir d’articuler ses griefs de manière suffisamment intelligible pour que  l’on puisse déduire de l'acte de recours dans quelle mesure et pour quelles raisons il conteste la décision attaquée (cf., en dernier lieu, arrêts CR.2011.0047 du 29 novembre 2011; AC.2010.0225 du 18 novembre 2011; AC.2010.0213 du 15 septembre 2011, et les arrêts cités). b) Le marché litigieux a fait l’objet d’un appel d’offres détaillé; ce document mentionne les critères d’adjudication et leur pondération. Le tableau d’évaluation transcrit l’appréciation de l’autorité communale, de manière précise; les raisons pour lesquelles  Municipalité a décidé comme elle l’a fait, en ressortent clairement. La recourante, qui effectuait autrefois les prestations qui font l’objet de la procédure, se plaint de voir son offre écartée injustement. Elle rappelle que son activité est sérieuse, ses installations performantes, et ses partenaires fiables. Elle estime être victime d’un "acte de racisme". Pour le reste, l’acte de recours ne contient aucun argument topique, relatif aux critères d’adjudication et à leur évaluation. Si l’on comprend que la recourante est mécontente de la décision attaquée et en demande implicitement la réforme en sa faveur, ses griefs sont indiscernables. La recourante a eu l’occasion de répliquer et de se déterminer sur la demande de l’effet suspensif. Elle n’a pas saisi cette occasion pour remédier aux défauts de son recours, notamment par la consultation du dossier produit par la Municipalité. Après le prononcé de la décision incidente du 23 mai 2012, elle a encore disposé d’un délai pour se déterminer sur le sort de la procédure, qu’elle n’a pas utilisé.</w:t>
      </w:r>
    </w:p>
    <w:p>
      <w:r>
        <w:rPr>
          <w:b/>
        </w:rPr>
        <w:t>E. 3</w:t>
      </w:r>
    </w:p>
    <w:p>
      <w:r>
        <w:t>Le recours est ainsi irrecevable au regard de l’art. 79 al. 1 LPA-VD. Les frais sont mis à la charge de la recourante (art. 49 LPA-VD). La Municipalité, qui est intervenue par l’entremise d’un mandataire, a droit à des dépens (art. 55 LPA-VD). Il n’y a pas lieu d’allouer des dépens à l’adjudicataire,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