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MPU.2011.0010 vom 21. April 2011</w:t>
      </w:r>
    </w:p>
    <w:p>
      <w:r>
        <w:t>VD Tribunal cantonal, 2011-04-21, FR</w:t>
      </w:r>
    </w:p>
    <w:p>
      <w:r>
        <w:rPr>
          <w:b/>
        </w:rPr>
        <w:t xml:space="preserve">Quelle: </w:t>
      </w:r>
      <w:r>
        <w:t>https://mcp.opencaselaw.ch/entscheid/vd_omni_MPU.2011.0010</w:t>
      </w:r>
    </w:p>
    <w:p>
      <w:r>
        <w:t>FR: VD_OMNI MPU.2011.0010 du 21 avril 2011</w:t>
      </w:r>
    </w:p>
    <w:p>
      <w:r>
        <w:t>IT: VD_OMNI MPU.2011.0010 del 21 aprile 2011</w:t>
      </w:r>
    </w:p>
    <w:p>
      <w:pPr>
        <w:pStyle w:val="Heading2"/>
      </w:pPr>
      <w:r>
        <w:t>Regeste</w:t>
      </w:r>
    </w:p>
    <w:p>
      <w:r>
        <w:t>X.________ SA c/Municipalité d'Yverdon-les-Bains, Y.________ SA | Pour le soumissionnaire évincé, le délai de recours de l'art. 10 LMP-VD part de la notification individuelle de la décision d'adjudication par l'adjudicateur et non de sa publication ultérieure. Le recours, interjeté le 28 mars 2011 contre une décision communiquée par écrit le 2 mars 2011 et publiée le 18 mars 2011, doit dès lors être déclaré irrecevable pour tardiveté. Est sans incidence le fait que cette décision ne mentionnait ni la voie, ni le délai de recours, puisque ceux-ci étaient expressément indiqués dans les documents d'appel d'offres qui faisaient partie intégrante de l'offre de la recourante. Celle-ci savait donc à quoi s'en tenir et pouvait immédiatement se rendre compte du vice, sans que sa position n'en soit affectée; ceci d'autant plus qu'ayant recouru par le passé à quatre reprises au moins contre des décisions d'adjudication similaires rendues par d'autres collectivités, la recourante n'ignorait pas la rigueur dont est entachée la procédure en matière de marchés publics et, notamment, la brieveté du délai de recours.</w:t>
      </w:r>
    </w:p>
    <w:p>
      <w:pPr>
        <w:pStyle w:val="Heading2"/>
      </w:pPr>
      <w:r>
        <w:t>Erwägungen</w:t>
      </w:r>
    </w:p>
    <w:p>
      <w:r>
        <w:rPr>
          <w:b/>
        </w:rPr>
        <w:t>E. 1</w:t>
      </w:r>
    </w:p>
    <w:p>
      <w:r>
        <w:t>La recourante se plaint en premier lieu de la note de 1,83 qui lui a été attribuée au critère n° 3, «Organisation et planification des travaux»; ses critiques sont également dirigées contre la définition du planning tel qu’il figure dans les documents d’appel d’offres. En second lieu, la recourante évoque une violation du principe de transparence et de non-discrimination; on retire de ses explications que le résultat aurait été modifié entre la recommandation initiale de la commission d’évaluation et l’adjudication, de telle sorte que celle-ci puisse intervenir en faveur d’un offreur local. La recourante a requis à cet égard la tenue d’une audience et l’audition de témoins. a) Les parties ont le droit d'être entendues (art. 29 al. 2 de la Constitution fédérale de la Confédération suisse du 18 avril 1999 – Cst; RS 101 – et 27 al. 2 de la Constitution du Canton de Vaud – Cst-VD; RSV 101.01).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la recourante. Il s’en tiendra à une procédure exclusivement écrite. Des explications de l’autorité intimée et de l’adjudicataire, on retire qu’il n’y aurait pas lieu d’entrer en matière sur les griefs formels et matériels que la recourante évoque à l’encontre de la décision attaquée, dès lors que le recours aurait été interjeté de façon tardive. La recourante le conteste et fait valoir à cet égard qu’elle a agi dans le délai de dix jours ayant suivi la publication de l’adjudication dans la FAO. Cette question d’ordre juridique, que le tribunal examine avec un plein pouvoir d’examen (art. 76 LPA-VD), doit être résolue en premier lieu dans la mesure où sa résolution par l’affirmative pourrait définitivement sceller le sort du recours. Dès lors, par appréciation anticipée des preuves, le tribunal s’estime en mesure de statuer en connaissance de cause, en se dispensant de l’audience réclamée par la recourante.</w:t>
      </w:r>
    </w:p>
    <w:p>
      <w:r>
        <w:rPr>
          <w:b/>
        </w:rPr>
        <w:t>E. 2</w:t>
      </w:r>
    </w:p>
    <w:p>
      <w:r>
        <w:t>a) Une décision n’est en principe pas exécutoire aussi longtemps qu’elle peut être attaquée par un recours. A contrario, elle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Selon les principes généraux du droit procédural, la décision est réputée inefficace tant qu'elle n'a pas été communiquée à son destinataire (Moor/Poltier, n° 2.2.8.4). Ainsi, le délai de recours ne part qu’à compter du jour de la notification (ATF 129 II 286 consid. 4.3. p. 302); en revanche, la notification irrégulière d'une décision ne doit entraîner aucun préjudice pour les parties (ATF 122 I 97 consid. 3a p. 99). En règle générale,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2A. 54/2000 du 23 juin 2000; 118 II 42, cons. 3b p. 44). Lorsque la forme est écrite, la décision doit parvenir à la connaissance des intéressés; plus particulièrement, ceux-ci doivent être mis dans la situation où la prise de connaissance ne dépend plus d’eux-mêmes ou de leurs représentants (Moor/Poltier, n° 2.2.8.4, références citées). Cette exigence est d'ailleurs rattachée dans de nombreux précédents au droit d'être entendu, le justiciable pouvant être privé de ses moyens de recours par l'omission d'une notification effective (sur tous ces points, voir notamment Moor/Poltier, n° 2.2.8.3; Jean-François Poudret, Commentaire de la loi fédérale d'organisation judiciaire, Berne 1990, n° 1.2 ad art. 32 OJ; Yves Donzallaz, La notification en droit interne suisse, Berne 2002, nos 104 et ss). Le fardeau de la preuve de la notification d'un acte et sa date incombe en principe à l'autorité qui entend en tirer une conséquence juridique (ATF 129 I 8 consid.</w:t>
      </w:r>
    </w:p>
    <w:p>
      <w:r>
        <w:rPr>
          <w:b/>
        </w:rPr>
        <w:t>E. 2.2</w:t>
      </w:r>
    </w:p>
    <w:p>
      <w:r>
        <w:t>p. 10; 124 V 400 consid. 2a p. 402; 122 I 97 cons. 3b p. 100 ). Le principe est donc celui d’une notification par avis individuel (Moor/Poltier, n° 2.2.8.4). Plus généralement du reste, la doctrine en matière de marchés publics s’en tient à la notification selon les formes prévues par les codes de procédure administratives cantonaux (Evelyne Clerc, L’ouverture des marchés publics: effectivité et protection juridique, Fribourg 1997, p. 511). Or, à teneur de l’art. 44 al. 1 de la loi vaudoise du 28 octobre 2008 sur la procédure administrative (LPA-VD; RS 173.36), l es décisions sont en principe notifiées à leurs destinataires sous pli recommandé ou par acte judiciaire. Si les circonstances l'exigent, notamment lors de décisions rendues en grand nombre, l'autorité peut notifier ses décisions sous pli simple ou sous une autre forme. La notification doit dans tous les cas intervenir par écrit (al. 2). Au regard de ce principe, la notification par voie de publication revêt un caractère exceptionnel; elle constitue un moyen ultime auquel il ne faut recourir qu'en dernier lieu (Donzallaz, op. cit., n° 451), ce d'autant qu'elle comporte un élément de fiction légale, le destinataire étant réputé avoir pris connaissance de la publication, même si celle-ci lui a, cas échéant, échappé (ibid., n° 443; voir dans le même sens, Poudret, n° 1.8 ad art. 32 OJ). En règle générale, la notification par voie de publication n'est admise que dans les cas énumérés par la loi. De nombreux textes prévoient par exemple ce mode de notification dans le cas où une partie est inconnue ou ne peut être atteinte (ainsi, l’art. 36 let. a et b de la l oi fédérale du 20 décembre 1968 sur la procédure administrative – PA; RS 172.02; v. Donzallaz, nos 441-442, 455 et 500), lorsque la procédure met en cause un grand nombre de parties ou d'intéressés (art. 36 let. c et d PA) ou encore lorsqu'il s'agit d'un acte législatif (ces exemples sont cités par Poudret, ibidem; voir également Donzallaz, op. cit., nos 478 et ss., not. 483; v. en outre ATF 128 III 425, ad notification sans droit d'une poursuite par voie édictale et ses conséquences, ainsi que le commentaire d'Yves Donzallaz, in AJP 2003, 853). L’art. 44 al. 3 LPA-VD précise sur ce point que l 'autorité peut notifier ses décisions par voie de publication du dispositif dans la Feuille des avis officiels à une partie dont le lieu de séjour est inconnu ou à un grand nombre de participants qui ne peuvent pas être identifiés sans frais excessifs. b) A teneur de l’art. 10 al. 1 de la loi vaudoise du 24 juin 1996 sur les marchés publics (LMP-VD; RSV 726.01), l es décisions suivantes peuvent faire l'objet d'un recours dans les dix jours dès leur notification ou leur publication: « l'appel d'offres, la décision concernant le choix des participants à la procédure sélective, l'exclusion de la procédure, l'adjudication ou l'interruption d'une procédure d'adjudication, la révocation,  les sanctions, le refus ou la radiation de l'inscription sur une liste permanente de soumissionnaires qualifiés ». Les féries judiciaires ne s'appliquent pas (ibid., al. 2). La loi sur la procédure administrative est applicable pour le surplus (ibid., al. 3). Cette règle est complétée par l’art. 39 al. 1 du règlement d'application de la LMP-VD (RLMP-VD; RSV.726.01.1) qui prévoit que chaque adjudicateur publie, au plus tard dans les 72 jours après l'adjudication d'un marché, un communiqué qui paraît selon les mêmes exigences que pour l'appel d'offres. Cette disposition est calquée sur la règle suggérée par les Directives d'application de l'AIMP, établies par la Conférence des directeurs des départements des travaux publics cantonaux, pour l'exécution de cet accord (ce texte est notamment publié dans l'ouvrage de Jean-Baptiste Zufferey/Corinne Maillard/Nicolas Michel, Droit des marchés publics, Présentation générale, éléments choisis et code annoté, Fribourg 2002 , p. 258). On notera que le droit fédéral des marchés publics prescrit une règle similaire, puisqu'il permet la notification des décisions d'adjudication "soit par publication, [...] soit par notification individuelle" (art. 23 al. 1 de la loi fédérale du 16 décembre 1994 sur les marchés publics – LMP; RS 172.056.1 ). Appliquant cette disposition, la Commission fédérale de recours avait admis que la publication de l'adjudication, accompagnée de l'indication des voies de droit, faisait courir le délai de recours sans qu'une notification individuelle soit de surcroît nécessaire (v. JAAC 65.11 et 61.78, résumés respectivement in DC 2001, 62 n° 53 et 1998, 53, n° 177); selon ces deux arrêts, une lettre d'information de l'administration adressée aux soumissionnaires évincés après la publication et qui se réfère au contenu de cette dernière, n'a aucune incidence sur le cours du délai de recours (cf. au surplus, Zufferey/Maillard/Michel, p. 282, références citées). La règle de l'art. 39 RLMP-VD (à l'instar du par. 30 des directives AIMP précitées) évoque essentiellement la question de la publication des décisions d'adjudication, en omettant en revanche la question de la notification des décisions. Or, ce sont là deux choses distinctes; la publication d'un communiqué (c'est la formulation même de l'art. 40 al. 1 AIMP) vise en effet d'autres objectifs que celle d'une notification aux parties, puisqu'il s'agit en effet d'informer les tiers et le public en général de l'avancement de la procédure. On peut sans doute réserver le cas de la publication de l'appel d'offres, dans la mesure où, tout au moins pour les procédures ouvertes ou sélectives, les destinataires sont par définition en nombre indéterminé et ne peuvent guère être atteints que par le biais d'une publication. Du reste, la jurisprudence en a retiré que les documents de l'appel d'offres faisaient généralement partie intégrante de l'appel d'offres, si bien que les éventuels vices les affectant devaient être contestés à ce stade de la procédure déjà, sous peine de forclusion (ATF 125 I 203 consid. 3a p. 209; cf. en dernier lieu, arrêt MPU.2010.0027 du 19 janvier 2011). S'agissant en revanche des adjudications, l'exigence de publication est nécessaire afin de déceler les situations dans lesquelles l'adjudicateur fait usage d'une procédure de passation erronée; de manière plus générale, la publication permet d'assurer une certaine surveillance par les tiers, voire par d'autres autorités de la correction des procédures suivies (sur ces points, voir Vincent Carron/Jacques Fournier, La protection juridique dans la passation des marchés publics, étude de droit comparé, règles types et rapport explicatif, Fribourg 2002, p. 17). Pour sa part, la notification vise au contraire à informer les destinataires de la décision (Moor/Poltier, op. cit., n° 2.2.8.3). On a vu que le droit fédéral autorisait expressément une notification par voie de publication (sans que cette solution apparaisse comme subsidiaire); la doctrine paraît estimer pour sa part que le droit intercantonal permet également que la notification intervienne exclusivement par le biais d'une publication (voir à ce propos, Zufferey, in Zufferey/Maillard/Michel, op. cit., p. 127). Cet avis est cependant loin d'être unanimement partagé; d'autres auteurs (Carron/Fournier, op. cit., p. 11 s.) estiment en effet préférable que la notification intervienne individuellement, de sorte que, notamment, chaque soumissionnaire évincé soit informé effectivement du fait que son offre a été écartée. Du reste, l’art. 42 al. 1, 1 ère phrase, RLMP-VD ne fait que confirmer le principe général énoncé à l’art. 44 al. 1 LPA-VD; cette disposition exige à cet égard de l'adjudicateur qu’il communique ses décisions par notification individuelle, sauf pour les avis d'appel d'offres. Pour sa part, le Tribunal administratif avait jugé – s’agissant d’appliquer l’ancien art. 10 al. 1 LMP-VD, il est vrai – que l'adjudicateur devait s'en tenir, le cas de l'appel d'offres mis à part, au principe de la notification individuelle des décisions, la publication ne revêtant que le caractère d'un mode de notification exceptionnel et subsidiaire; en d'autres termes, le soumissionnaire évincé doit pouvoir s'attendre à recevoir une information directe de la décision de l'entité adjudicatrice (arrêt GE.2003.0072 du 28 octobre 2003). Dans le même sens, le Tribunal cantonal valaisan a rappelé que le destinataire d’une notification écrite devait recourir dans les dix jours à compter de cette information, parce que la publication subséquente de l’adjudication ne fait pas courir de nouveau délai de recours (arrêt du 3 novembre 2006, rés. in DC 4/2007 p. 218 S82). Cette dernière solution a du reste été approuvée par la doctrine (v. Jacques Dubey, La pratique judiciaire depuis 2008, in Marchés publics 2008, Zufferey/Stöckli, éditeurs, Zurich 2008, n° 42 p. 395). c) En l’espèce, l’autorité intimée a informé les soumissionnaires, par courrier du 2 mars 2011, de ce que le présent marché avait été adjugé à Y.________ SA. Il permettait sans ambiguïté à la recourante de comprendre que son offre n’était pas retenue. La recourante a reçu cette correspondance; à tout le moins, elle ne prétend pas le contraire. Du reste, l’administrateur de la recourante a, à sa demande, été reçu par un représentant de l’autorité intimée, le 11 mars 2011, pour se faire expliquer la motivation de la décision prise par celle-ci. Cela démontre qu’à cette date en tout cas, le pli contenant la communication de la décision d’adjudication était bien parvenu à son destinataire. Il n’y a donc pas lieu de s’écarter de la règle générale de l’art. 44 al. 1 LPA-VD. Etant dès lors admis que la notification devait intervenir de manière individuelle, la publication subséquente intervenue dans la FAO le 18 mars 2011 n'a pas fait courir le délai de recours à l’égard du soumissionnaire, puisque ce délai a débuté à compter de la réception de la lettre précitée. De même, cette publication n’a pas fait courir à l’égard de celui-ci un nouveau délai de recours. Ainsi, il en résulte que le recours, interjeté le 28 mars 2011 seulement, l’a été de façon tardive.</w:t>
      </w:r>
    </w:p>
    <w:p>
      <w:r>
        <w:rPr>
          <w:b/>
        </w:rPr>
        <w:t>E. 3</w:t>
      </w:r>
    </w:p>
    <w:p>
      <w:r>
        <w:t>a)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298/299). Cela étant, celui qui s'aperçoit du vice affectant l'indication de la voie de droit ou qui devait s'en apercevoir en faisant usage de la prudence que l'on pouvait attendre de lui, ne peut se prévaloir d'une indication inexacte ou incomplète sur ce point (ATF 129 II 125 consid.</w:t>
      </w:r>
    </w:p>
    <w:p>
      <w:r>
        <w:rPr>
          <w:b/>
        </w:rPr>
        <w:t>E. 3.3</w:t>
      </w:r>
    </w:p>
    <w:p>
      <w:r>
        <w:t>p. 134/135; 127 II 198 consid. 2c p. 205; 121 II 72 consid. 2a p. 78; 119 IV 330 consid. 1c p. 333, et les arrêts cités; indication erronée du délai de recours contre une décision d’adjudication, v. ATF 2P.56/2006 du 17 mars 2006; cf. également arrêt PS.2005.0054 du 15 juin 2005 consid. 1a p. 3 ). D'après les règles de la bonne foi, on peut attendre en effet du destinataire d'une décision, reconnaissable comme telle, mais sans indication de voie ni de délai de recours, qu'il entreprenne dans un délai raisonnable les démarches voulues pour sauvegarder ses droits, notamment qu'il se renseigne auprès d'un avocat ou de l'autorité qui a statué et, une fois renseigné, qu'il agisse en temps utile (v. ATF 119 IV 330, cons. 1c; 112 Ib 417, cons. 2d; 111 Ia 280 cons. 2b; 102 Ib 91, cons. 3; Jean-François Egli, La protection de la bonne foi dans le procès, in Juridiction constitutionnelle et juridiction administrative, Zurich 1992, p. 232; Bovay, op. cit., p. 372). En particulier, ne mérite pas de protection la partie dont l’avocat eût pu déceler l'omission ou l'erreur par la seule lecture du texte légal, sans recourir à la consultation de la jurisprudence ou de la doctrine (ATF 135 III 489 consid. 4.4; 134 I 199 consid. 1.3.1 p. 203; 127 II 198 consid. 2c p. 205; 117 Ia 297 consid. 2 p. 299, 421 consid. 2a p. 422, et les arrêts cités ; cf. également arrêts PS.2008.0064 du 27 janvier 2009 consid. 3a p. 7; AF.1999.0001 du 1 er juillet 1999 consid. 1e, publié in RDAF 2000 I p. 102 consid. 1e p. 105 ). La partie sans connaissances juridiques, non assistée par un homme de loi et qui ne dispose pas d’expérience particulière découlant par exemple de procédures antérieures peut se fier à l’indication inexacte du délai de recours contenue dans la décision attaquée (ATF 135 III 374). Si l’indication des voies de droit est fausse, il est possible de transmettre d’office la cause à l’autorité compétente (ATF 134 I 199 consid. 1.3.1 p. 202/203). b) Sans doute, l e courrier du 2 mars 2011 ne mentionne ni la voie, ni le délai de recours, ceci contrairement au texte de l’art. 42 al. 2 RLMP-VD à teneur duquel l es décisions de l'adjudicateur sont sommairement motivées et indiquent la voie de recours. On relève toutefois que le cahier des charges afférant au marché précisait expressis verbis (ch. 1.25) que l’appel d’offres, à compter de la date de la publication et la décision de l’adjudication, à compter de la date de notification, étaient susceptibles de recours à la Cour de droit administratif et public dans un délai de dix jours. La recourante a non seulement pris connaissance de ce document, mais elle l’a imprimé; du reste, celui-ci fait partie intégrante de son offre. En recevant le courrier du 2 mars 2011, la recourante savait donc à quoi s’en tenir et pouvait immédiatement se rendre compte du vice résultant du défaut d'indication de la voie de droit, sans que sa position n’en soit affectée. Par le passé, la recourante, qui exploite une entreprise générale du bâtiment depuis 1973 , a recouru à quatre reprises au moins contre des décisions d’adjudication similaires rendues par d’autres collectivités. Elle n’ignore donc pas la rigueur dont est entachée la procédure en matière de marchés publics et, notamment, la brieveté du délai de recours. Aussi, à réception de cette correspondance, la recourante pouvait conférer sans délai avec son conseil de son contenu, afin d’entreprendre en temps utile les démarches voulues pour sauvegarder ses droits. Par conséquent, l’absence d’indication sur la décision attaquée de la voie et du délai de recours n’est pas préjudiciable pour la recourante, de sorte que celle-ci ne serait de toute façon pas fondée à s’en prévaloir.</w:t>
      </w:r>
    </w:p>
    <w:p>
      <w:r>
        <w:rPr>
          <w:b/>
        </w:rPr>
        <w:t>E. 4</w:t>
      </w:r>
    </w:p>
    <w:p>
      <w:r>
        <w:t>De ce qui précède, il s’ensuit que le recours doit être déclaré irrecevable et ceci, aux frais de son auteur (art. 49 et 91 LPA-VD). Cela rend sans objet la réquisition de l’autorité intimée et de l’adjudicataire tendant à la levée de l’effet suspensif. La recourante versera en outre des dépens à l’autorité intimée qui obtient gain de cause avec l’assistance d’un conseil (art. 55 et 91 LPA-VD). Exclues du champ d’application de l’art. 52 al. 1 LPA-VD, les communes conservent en effet la faculté de faire valoir leur droit à des dépens (art. 56 al. 3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