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MPU.2010.0027 vom 19. Januar 2011</w:t>
      </w:r>
    </w:p>
    <w:p>
      <w:r>
        <w:t>VD Tribunal cantonal, 2011-01-19, FR</w:t>
      </w:r>
    </w:p>
    <w:p>
      <w:r>
        <w:rPr>
          <w:b/>
        </w:rPr>
        <w:t xml:space="preserve">Quelle: </w:t>
      </w:r>
      <w:r>
        <w:t>https://mcp.opencaselaw.ch/entscheid/vd_omni_MPU.2010.0027</w:t>
      </w:r>
    </w:p>
    <w:p>
      <w:r>
        <w:t>FR: VD_OMNI MPU.2010.0027 du 19 janvier 2011</w:t>
      </w:r>
    </w:p>
    <w:p>
      <w:r>
        <w:t>IT: VD_OMNI MPU.2010.0027 del 19 gennaio 2011</w:t>
      </w:r>
    </w:p>
    <w:p>
      <w:pPr>
        <w:pStyle w:val="Heading2"/>
      </w:pPr>
      <w:r>
        <w:t>Regeste</w:t>
      </w:r>
    </w:p>
    <w:p>
      <w:r>
        <w:t>X.____________ AG/Direction des travaux, Y.____________ SA | Irrecevabilité d'un recours dirigé contre la configuration du marché. C'est seulement lorsqu'elle a pris connaissance de la décision de l'autorité intimée d'adjuger le marché à une tierce entreprise que la recourante a saisi le tribunal, en faisant valoir que la configuration du marché était affectée d'un vice rédhibitoire, ce qu'elle n'ignorait pas depuis la réception des documents d'appel d'offres. Ce faisant, la recourante a adopté un comportement contraire aux principes de la bonne foi et de la sécurité du droit, ce qui entraîne sa forclusion.</w:t>
      </w:r>
    </w:p>
    <w:p>
      <w:pPr>
        <w:pStyle w:val="Heading2"/>
      </w:pPr>
      <w:r>
        <w:t>Erwägungen</w:t>
      </w:r>
    </w:p>
    <w:p>
      <w:r>
        <w:rPr>
          <w:b/>
        </w:rPr>
        <w:t>E. 1</w:t>
      </w:r>
    </w:p>
    <w:p>
      <w:r>
        <w:t>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en vigueur depuis le 1 er janvier 2009).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tenir audience et s’en tenir à une procédure exclusivement écrite. Les faits sont établis et le litige a trait à des questions d’ordre exclusivement juridique, que le Tribunal examine avec un plein pouvoir d’examen (art. 98 LPA-VD). Dès lors, par appréciation anticipée des preuves, le Tribunal s’estime en mesure de statuer en connaissance de cause, en se dispensant de convoquer une audience aux fins de recueillir les explications éventuelles des parties et d’entendre des témoins.</w:t>
      </w:r>
    </w:p>
    <w:p>
      <w:r>
        <w:rPr>
          <w:b/>
        </w:rPr>
        <w:t>E. 2</w:t>
      </w:r>
    </w:p>
    <w:p>
      <w:r>
        <w:t>a) La matière est régie par l’accord intercantonal sur les marchés publics, du 25 novembre 1994 (AIMP; RSV 726.91), ainsi que par la loi cantonale sur les marchés publics, du 24 juin 1996 (LMP-VD; RSV 726.01) et le règlement d’application y relatif (RLMP; RSV 726.01.1). b) En matière de marchés publics, le pouvoir d’examen du Tribunal dépend de la nature des griefs invoqués. L'adjudicateur dispose d'une grande liberté d'appréciation, à tous les stades de la procédure, s’agissant notamment de l’évaluation des offres (arrêts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w:t>
      </w:r>
    </w:p>
    <w:p>
      <w:r>
        <w:rPr>
          <w:b/>
        </w:rPr>
        <w:t>E. 6</w:t>
      </w:r>
    </w:p>
    <w:p>
      <w:r>
        <w:t>Il s’ensuit que le recours doit être déclaré irrecevable, ceci aux frais de son auteur (art. 49 et 91 LPA-VD). La recourante versera en outre des dépens à l’autorité intimée qui obtient gain de cause avec l’assistance d’un conseil (art. 55 et 91 LPA-VD). Exclues du champ d’application de l’art. 52 al. 1 LPA-VD, les communes conservent en effet la faculté de faire valoir leur droit à des dépens (art. 56 al. 3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