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MPU.2010.0015 vom 31. Januar 2011</w:t>
      </w:r>
    </w:p>
    <w:p>
      <w:r>
        <w:t>VD Tribunal cantonal, 2011-01-31, FR</w:t>
      </w:r>
    </w:p>
    <w:p>
      <w:r>
        <w:rPr>
          <w:b/>
        </w:rPr>
        <w:t xml:space="preserve">Quelle: </w:t>
      </w:r>
      <w:r>
        <w:t>https://mcp.opencaselaw.ch/entscheid/vd_omni_MPU.2010.0015</w:t>
      </w:r>
    </w:p>
    <w:p>
      <w:r>
        <w:t>FR: VD_OMNI MPU.2010.0015 du 31 janvier 2011</w:t>
      </w:r>
    </w:p>
    <w:p>
      <w:r>
        <w:t>IT: VD_OMNI MPU.2010.0015 del 31 gennaio 2011</w:t>
      </w:r>
    </w:p>
    <w:p>
      <w:pPr>
        <w:pStyle w:val="Heading2"/>
      </w:pPr>
      <w:r>
        <w:t>Regeste</w:t>
      </w:r>
    </w:p>
    <w:p>
      <w:r>
        <w:t>X.________, Y.________, Z.________.c/Municipalité de Nyon, A.________ | Marché public portant sur les prestations d'ingénieurs et de géologues dans le cadre de l'assainissement d'une ancienne décharge. Le cahier des charges prévoit que les prestations comprennent notamment la "surveillance permanente sur le site". L'adjudicataire est parti du principe que la personne affectée à la surveillance peut consacrer concurrement quelques heures à d'autres tâches, telles des photographies ou la tenue des procès-verbaux de chantiers. Cette interprétation est défendable. L'offre de l'adjudicataire n'avait dès lors pas à être exclue.</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le consortium recourant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MPU.2009.0009 du 7 octobre 2009, consid. 6a; GE.2007.0246 du 13 mars 2008, consid. 3a;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MPU.2009.0009 du 7 octobre 2009, consid. 6a; GE.2007.0246 du 13 mars 2008, consid. 3a; GE. 2006.0084 du 6 septembre 2006, consid. 1b; GE.2005.0212 du 2 juin 2006, consid. 1b; GE. 2005.0161 du 9 février 2006, consid. 6a, et les arrêts cités).</w:t>
      </w:r>
    </w:p>
    <w:p>
      <w:r>
        <w:rPr>
          <w:b/>
        </w:rPr>
        <w:t>E. 3</w:t>
      </w:r>
    </w:p>
    <w:p>
      <w:r>
        <w:t>Le consortium recourant soutient que l'offre de A.________ aurait dû être exclue, car elle ne respecterait pas une condition du cahier des charges, à savoir la "surveillance permanente sur le site". a) Aux termes de l’art. 32 2 ème paragraphe let. a du règlement d'application de la loi du 24 juin 1996 sur les marchés publics (RLMP-VD; RSV 726.01.1), du 7 juillet 2004, une offre peut être exclue, lorsqu’elle n'est pas conforme aux prescriptions et aux conditions fixées dans la mise au concours, incomplètement remplie ou ayant subi des adjonctions ou modifications.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in: JAAC 70.80, consid. 4; cf. également ATF 2P.225/2005 du 27 avril 2006, in: DC 2006 p. 187 S112), voire même par substitution de motifs, dans le cadre de la réponse à un recours dirigé contre la décision d’adjudication (arrêt GE.2003.0111 du 20 février 2004, consid. 1a, et les références citées).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in: DC 2005 p. 175, consid. 2; 2P.161/2003 du 29 octobre 2003). En principe, le fait qu'une rubrique ne soit pas remplie n'implique pas nécessairement l'invalidité de l'offre (ATF 2C_144/2009 du 15 juin 2009, consid. 6.2, réf. citée). Ainsi, lorsque le défaut mis en exergue doit être considéré comme véniel, il est en règle générale excessivement formaliste d’exclure une offre de la procédure d’adjudication, sans avoir préalablement invité l’auteur à corriger ce défaut (cf. dans ce sens, ATAF 2007/13 consid. 3.3; décisions de la Commission fédérale de recours (CFR) du 23 décembre 2005, in: JAAC 70.33; v. en outre arrêts GE.2006.0226 du 20 février 2007; GE.2006.0084 du</w:t>
      </w:r>
    </w:p>
    <w:p>
      <w:r>
        <w:rPr>
          <w:b/>
        </w:rPr>
        <w:t>E. 6</w:t>
      </w:r>
    </w:p>
    <w:p>
      <w:r>
        <w:t>Les considérants qui précèdent conduisent au rejet du recours et à la confirmation de la décision attaquée. Le consortium recourant, qui succombe, supportera les frais de justice. Il devra par ailleurs des dépens à l'adjudicataire,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