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MPU.2009.0016 vom 25. November 2009</w:t>
      </w:r>
    </w:p>
    <w:p>
      <w:r>
        <w:t>VD Tribunal cantonal, 2009-11-25, FR</w:t>
      </w:r>
    </w:p>
    <w:p>
      <w:r>
        <w:rPr>
          <w:b/>
        </w:rPr>
        <w:t xml:space="preserve">Quelle: </w:t>
      </w:r>
      <w:r>
        <w:t>https://mcp.opencaselaw.ch/entscheid/vd_omni_MPU.2009.0016</w:t>
      </w:r>
    </w:p>
    <w:p>
      <w:r>
        <w:t>FR: VD_OMNI MPU.2009.0016 du 25 novembre 2009</w:t>
      </w:r>
    </w:p>
    <w:p>
      <w:r>
        <w:t>IT: VD_OMNI MPU.2009.0016 del 25 novembre 2009</w:t>
      </w:r>
    </w:p>
    <w:p>
      <w:pPr>
        <w:pStyle w:val="Heading2"/>
      </w:pPr>
      <w:r>
        <w:t>Regeste</w:t>
      </w:r>
    </w:p>
    <w:p>
      <w:r>
        <w:t>X._____________ SA c/Municipalité de Corbeyrier, Y._____________ SA | Vu l'urgence à faire commencer les travaux et compte tenu du fait que seul le critère du prix permet en l'espèce de départager les soumissionnaires, il convient de réformer la décision attaquée et de prononcer l'adjudication en faveur de la recourante qui a présenté l'offre économiquement la plus avantageuse.</w:t>
      </w:r>
    </w:p>
    <w:p>
      <w:pPr>
        <w:pStyle w:val="Heading2"/>
      </w:pPr>
      <w:r>
        <w:t>Erwägungen</w:t>
      </w:r>
    </w:p>
    <w:p>
      <w:r>
        <w:rPr>
          <w:b/>
        </w:rPr>
        <w:t>E. 1</w:t>
      </w:r>
    </w:p>
    <w:p>
      <w:r>
        <w:t>a) La matière est régie par l'accord intercantonal du 25 novembre 1994 sur les marchés publics (AIMP; RSV 726.91) ainsi que la loi vaudoise du 24 juin 1996 sur les marchés publics (LMP-VD; RSV 726.01) et son règlement d'application du 7 juillet 2004 (RLMP-VD;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w:t>
      </w:r>
    </w:p>
    <w:p>
      <w:r>
        <w:rPr>
          <w:b/>
        </w:rPr>
        <w:t>E. 6</w:t>
      </w:r>
    </w:p>
    <w:p>
      <w:r>
        <w:t>Les considérations qui précèdent conduisent à l'admission du recours. En règle générale, la Cour de céans se contente d'annuler la décision d'adjudication attaquée. Elle s'écarte toutefois, à titre exceptionnel, de cette solution, lorsque les dossiers fournis par les concurrents encore en lice sont complets et que le tribunal peut se borner à ajuster l'évaluation des offres sur des points de détail (cf. par exemple arrêt GE.2005.0046 du 12 juillet 2005). Tel est le cas en l'espèce, dès lors que seul le critère du prix permet le départage entre les soumissionnaires. De plus, il y a urgence à faire commencer les travaux afin que la Municipalité puisse bénéficier de la subvention cantonale. Il est par conséquent conforme au principe d'économie de la procédure de réformer la décision attaquée et de prononcer l'adjudication en faveur de la recourante qui a présenté l'offre économiquement la plus avantageuse. Compte tenu du fait que l'autorité intimée a conclu au rejet du recours, les frais seront mis à sa charge, ainsi que les dépens en faveur de la recourante qui a agi par l'entremise d'un mandataire. Il n’y a pas lieu de mettre des dépens à la charge du tiers intéressé qui s’est tenu à l’écart de la procédure (art. 49, 52 et 55 de la loi du 28 octobre 2008 sur la procédure administrative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