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GE.2025.0124 vom 27. November 2025</w:t>
      </w:r>
    </w:p>
    <w:p>
      <w:r>
        <w:t>VD Tribunal cantonal, 2025-11-27, FR</w:t>
      </w:r>
    </w:p>
    <w:p>
      <w:r>
        <w:rPr>
          <w:b/>
        </w:rPr>
        <w:t xml:space="preserve">Quelle: </w:t>
      </w:r>
      <w:r>
        <w:t>https://mcp.opencaselaw.ch/entscheid/vd_omni_GE.2025.0124</w:t>
      </w:r>
    </w:p>
    <w:p>
      <w:r>
        <w:t>FR: VD_OMNI GE.2025.0124 du 27 novembre 2025</w:t>
      </w:r>
    </w:p>
    <w:p>
      <w:r>
        <w:t>IT: VD_OMNI GE.2025.0124 del 27 novembre 2025</w:t>
      </w:r>
    </w:p>
    <w:p>
      <w:pPr>
        <w:pStyle w:val="Heading2"/>
      </w:pPr>
      <w:r>
        <w:t>Regeste</w:t>
      </w:r>
    </w:p>
    <w:p>
      <w:r>
        <w:t>A.________/Direction générale des affaires institutionnelles et des communes | Recours contre une décision de la DGAIC rejetant la demande d'indemnisation LAVI d'une femme se disant victime d'une escroquerie. Les atteintes psychiques dont la recourante se prévaut sont une conséquence indirecte de l'infraction. La recourante, malgré des souffrances qui ne peuvent être niées, n'entre pas dans la qualification de victime, dans le sens strict que lui donne la législation LAVI. Recours au TF déclaré irrecevable par arrêt 1C_757/2025 du 21 janvier 2026.</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les faits d'office (art. 29 al. 2 LAVI) et en désignant une autorité de recours unique, indépendante de l'administration et jouissant d'un plein pouvoir d'examen (art. 29 al. 3 LAVI). Selon l'art. 14 de la loi vaudoise du 24 février 2009 d'application de la LAVI (LVLAVI; BLV 312.41), la DGAIC est l'autorité cantonale compétente au sens de l'art. 24 LAVI. Conformément à l'art. 16 LVLAVI, les décisions rendues par cette autorité peuvent faire l'objet d'un recours de droit administratif au Tribunal cantonal, selon les règles ordinaires de la loi vaudoise du 28 octobre 2008 sur la procédure administrative (LPA-VD; BLV 173.36). Déposé en temps utile (art. 95 LPA-VD), le recours remplit en outre les conditions formelles de recevabilité (art. 79 LPA-VD, applicable par renvoi de l'art. 99 LPA-VD). Il y a donc lieu d'entrer en matière.</w:t>
      </w:r>
    </w:p>
    <w:p>
      <w:r>
        <w:rPr>
          <w:b/>
        </w:rPr>
        <w:t>E. 2</w:t>
      </w:r>
    </w:p>
    <w:p>
      <w:r>
        <w:t>Requise de préciser ses conclusions, puis assistée par un avocat, la recourante a modifié ses conclusions en ce sens qu'elle conclut désormais principalement à l'octroi d'une indemnisation, à titre de réparation morale, à hauteur de 15'000 CHF au moins. À supposer cette nouvelle conclusion recevable (cf. art. 79 al. 2 LPA-VD; ATF 144 II 359 consid. 4.3 et les références citées), le tribunal prend acte qu'en précisant ainsi ses conclusions, la recourante renonce à demander le remboursement des 121'300 EUR correspondant selon elle au montant total escroqué.</w:t>
      </w:r>
    </w:p>
    <w:p>
      <w:r>
        <w:rPr>
          <w:b/>
        </w:rPr>
        <w:t>E. 3</w:t>
      </w:r>
    </w:p>
    <w:p>
      <w:r>
        <w:t>La recourante expose qu'elle aurait subi, du fait d'une infraction pénale, une atteinte directe à son intégrité psychique et aurait ainsi droit à une indemnisation ou une réparation morale (art. 1 LAVI). 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L'application de l'art. 2 let. e LAVI présuppose l'existence d'une victime directe d'une infraction, ce qui doit être examiné au préalable dans le cas d'espèce. On entend par victime le lésé qui, du fait d'une infraction, a subi une atteinte directe à son intégrité physique, psychique ou sexuelle (art. 116 al. 1 du Code de procédure pénale suisse du 5 octobre 2007 [CPP; RS 312.0]). Il s'agit d'une catégorie spéciale de lésé, qui jouit des droits procéduraux conférés à celui-ci, ainsi que de droits spécifiques notamment rappelés à l'art. 117 CPP; cela se justifie essentiellement en raison des besoins de protection accrus des droits de la personnalité compte tenu de la nature des atteintes subies par la victime (TF 1B_259/2021 du 19 août 2021 consid. 2.1). Selon la jurisprudence, le vol ou les dommages à la propriété ne confèrent en principe pas la qualité de victime LAVI (CDAP GE.2009.0059 du 1 er septembre 2009 consid. 5b). Les infractions contre le patrimoine, en particulier le vol et l'escroquerie, ne procurent en principe pas la qualité de victime au sens de l'art. 116 al. 1 CPP car les préjudices qu'une personne peut subir n'en sont qu'une conséquence indirecte (ATF 120 Ia 157 consid. 2d/aa; TF 1C_513/2021 du 11 janvier 2021 consid. 4.3.3; 6S.333/2002 du 20 août 2002 consid. 2.2). Le Message du 25 avril 1990 du Conseil fédéral concernant la loi fédérale sur l'aide aux victimes d'infractions (LAVI) et l'arrêté fédéral portant approbation de la Convention européenne relative au dédommagement des victimes d'infractions violentes explique que, en précisant que l'atteinte doit être "directe", la loi vise à exclure les atteintes qu'une personne peut subir, par exemple, à la suite de délits contre l'honneur, de voies de fait, d'un vol ou d'une escroquerie et qui sont des conséquences indirectes de ces infractions (FF 1990 II 909 p. 925). Toutefois, cette règle n'est pas absolue: la qualité de victime peut exceptionnellement être reconnue lorsque ces infractions ont, dans des cas déterminés, atteint une personne dans son intégrité psychique directement et de manière suffisamment significative (CDAP GE.2009.0059 précité consid. 5b). Dans cette affaire, la qualité de victime d'un cambriolage a été reconnue à la recourante compte tenu de circonstances tout à fait exceptionnelles, en particulier son âge avancé, le vol de l'urne de son époux, la perte de son contenu et l'hospitalisation de la recourante qui a suivi le cambriolage (CDAP GE.2009.0059 précité consid. 5c/bb). Le Tribunal fédéral a également jugé qu'il n'était pas exclu que la personne victime d'une escroquerie puisse être considérée comme une victime, si elle subissait en même temps une atteinte à sa liberté personnelle ou une extorsion (ATF 120 Ia 157 consid. 2). Il a notamment reconnu la qualité de victime au sens de l'art. 2 al. 1 aLAVI dans un cas de brigandage avec des circonstances qualifiées de particulièrement graves (TF 1A.70/2004 du 7 juillet 2004 consid. 2). b) En l'espèce, il n'est pas question d'un événement traumatisant grave ayant porté atteinte directement à l'intégrité psychique de la recourante. Le certificat médical du 19 août 2025 produit par la recourante a la teneur suivante: "Le médecin soussigné, médecin traitant de Madame A.________, atteste que cette patiente présente des problèmes médicaux, avec notamment une grande souffrance sur le plan psychologique, consécutive à la perte subite de son mari, survenue au mois d'octobre 2020. Cet événement a été vécu comme un véritable traumatisme, avec des séquelles encore bien présentes actuellement. Cet état de détresse est également exacerbé par une affaire d'escroquerie survenue peu de temps après le décès de son mari, dans une période où elle était particulièrement fragile et vulnérable, possiblement à même d'altérer sa capacité de discernement dans certaines décisions qu'elle a pu prendre. Cet événement contribue à alimenter son état de souffrance psychologique encore bien présente aujourd'hui." Il est constaté que la souffrance attestée par le médecin traitant de la recourante est principalement la conséquence de la perte subite de son mari, qualifiée de traumatisme pour la recourante. S'il ressort également de cette attestation médicale que l'escroquerie à l'appui de laquelle la recourante fait valoir des prétentions en tort moral a contribué à alimenter son état de souffrance psychologique, ces souffrances trouvent essentiellement leur origine dans des faits antérieurs à l'escroquerie, ce qui empêche déjà de reconnaître un lien direct avec l'infraction. De plus, les faits exposés par la recourante dans sa plainte pénale ainsi que ses correspondances à l'autorité d'indemnisation LAVI mettent plutôt en avant ses intérêts patrimoniaux et ses difficultés financières causées par l'infraction. Il semble ainsi que les souffrances de la recourante soient à mettre en lien avec les difficultés financières auxquelles elle est désormais confrontée. Les atteintes psychiques dont elle se prévaut sont des conséquences indirectes de l'infraction à son patrimoine. Or, dans ce cas, conformément à la volonté du législateur, la qualité de victime est exclue. Enfin, sans vouloir minimiser l'état de souffrance psychologique actuel de la recourante, il n'apparaît pas qu'elle ait été touchée de manière particulièrement significative et directe dans sa santé psychique par l'infraction. Compte tenu de la jurisprudence restrictive rappelée ci-dessus, les circonstances du cas d'espèce ne permettent pas de conclure à une atteinte directe et significative à l'intégrité psychique de la recourante justifiant de lui reconnaître la qualité de victime. Il convient encore de relever que l'ATF 118 II 410 cité par la recourante dans ses observations complémentaires n'apparaît pas pertinent en l'espèce. En effet, dans cet arrêt, le Tribunal fédéral a fixé le montant d'une indemnité pour tort moral à 10'000 CHF compte tenu de la gravité de l'atteinte subie à la suite d'une infraction d'atteinte à la pudeur sur des enfants (art. 191 ch. 2 al. 5 aCP). En tant qu'il ne s'agissait pas des conséquences d'une infraction contre le patrimoine mais contre l'intégrité sexuelle avec des conséquences directes sur l'intégrité psychique des enfants en question, la qualité de victime n'était pas discutée. Seule la quotité des conclusions civiles était contestée. c) Partant, la recourante, malgré des souffrances qui ne peuvent être niées, n'entre pas dans la qualification de victime au sens strict que lui donne la législation LAVI. Dans ces circonstances, il n'apparaît pas nécessaire d'instruire davantage sur l'état de la procédure pénale pendante.</w:t>
      </w:r>
    </w:p>
    <w:p>
      <w:r>
        <w:rPr>
          <w:b/>
        </w:rPr>
        <w:t>E. 4</w:t>
      </w:r>
    </w:p>
    <w:p>
      <w:r>
        <w:t>Le considérant qui précède conduit au rejet du recours, mal fondé, et à la confirmation de la décision attaquée. Il n'est pas perçu de frais, la procédure étant gratuite en vertu du droit fédéral (art. 30 al. 1 LAVI).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