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GE.2025.0120 vom 9. Oktober 2025</w:t>
      </w:r>
    </w:p>
    <w:p>
      <w:r>
        <w:t>VD Tribunal cantonal, 2025-10-09, FR</w:t>
      </w:r>
    </w:p>
    <w:p>
      <w:r>
        <w:rPr>
          <w:b/>
        </w:rPr>
        <w:t xml:space="preserve">Quelle: </w:t>
      </w:r>
      <w:r>
        <w:t>https://mcp.opencaselaw.ch/entscheid/vd_omni_GE.2025.0120</w:t>
      </w:r>
    </w:p>
    <w:p>
      <w:r>
        <w:t>FR: VD_OMNI GE.2025.0120 du 9 octobre 2025</w:t>
      </w:r>
    </w:p>
    <w:p>
      <w:r>
        <w:t>IT: VD_OMNI GE.2025.0120 del 9 ottobre 2025</w:t>
      </w:r>
    </w:p>
    <w:p>
      <w:pPr>
        <w:pStyle w:val="Heading2"/>
      </w:pPr>
      <w:r>
        <w:t>Regeste</w:t>
      </w:r>
    </w:p>
    <w:p>
      <w:r>
        <w:t>A.________ /Direction générale des affaires institutionnelles et des communes | Le recourant requiert une indemnité de 8'000 fr. à titre de réparation morale en sa qualité de victime LAVI au lieu de l'indemnité de 3'000 fr. allouée par l'autorité intimée. Si le recourant a souffert d'atteintes physiques et psychiques non négligeables, il a rapidement repris le cours de sa guérison. En outre, l'indemnité de 3'000 fr. n'apparaît pas en disproportion choquante avec celles octroyées dans des affaires similaires. L'octroi d'un montant supérieur ne se justifiait pas. Rejet du recours.</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BLV 273.36). En l'espèce, le recours a été formé en temps utile (art. 95 LPA-VD) et il respecte les autres conditions légales de recevabilité (cf. en particulier art. 79 LPA-VD, applicable par renvoi de l'art. 99 LPA-VD). Il y a donc lieu d'entrer en matière sur le fond.</w:t>
      </w:r>
    </w:p>
    <w:p>
      <w:r>
        <w:rPr>
          <w:b/>
        </w:rPr>
        <w:t>E. 2</w:t>
      </w:r>
    </w:p>
    <w:p>
      <w:r>
        <w:t>mois de rééducation, IT (apprenti charpentier) 13 semaines environ à 100 % et</w:t>
      </w:r>
    </w:p>
    <w:p>
      <w:r>
        <w:rPr>
          <w:b/>
        </w:rPr>
        <w:t>E. 3</w:t>
      </w:r>
    </w:p>
    <w:p>
      <w:r>
        <w:t>Le recours doit être rejeté et la décision attaquée confirmée. La procédure étant gratuite (art. 30 al. 1 LAVI), il n'est pas perçu d'émolument. Vu le sort du recours, il n'y a pas lieu d'allouer des dépens (art. 55 LPA-VD). Le recourant a requis l'octroi de l'assistance judiciaire. Il y a lieu de faire droit à cette requête, les conditions de l'art. 18 al. 1 et 2 LPA-VD étant réunies. Dans le canton de Vaud, l'avocat qui procède au bénéfice de l'assistance judiciaire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 travail d'un avocat et de 110 fr. pour le travail d'un avocat-stagiaire (art. 2 al. 1 let. a et b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du Tarif du 28 avril 2015 des frais judiciaires et des dépens en matière administrative [TFJDA; BLV 173.36.5.1]; art. 3bis al. 1 RAJ). En l'occurrence, dans sa liste des opérations du 12 août 2025, l'avocate du recourant a annoncé avoir personnellement consacré à l'affaire 5 heures et 55 minutes, ce qui paraît approprié au vu des nécessités de la cause. Les honoraires s'élèvent donc à 1'065 fr. (5:55 x 180 fr./h), auxquels s'ajoute encore la TVA au taux de 8,1%, soit 86 fr. 27 (8,1% x 1'065), pour un total de 1'151 fr. 27. S'agissant des débours, Me Coralie Germond a indiqué qu'ils se montaient à 23 fr. 05, TVA comprise, soit un montant inférieur au forfait de 5%. Il y a lieu de s'en tenir à la liste produite et l'indemnité de conseil d'office peut ainsi être arrêtée au montant arrondi de 1'174 fr. 35 (1'151,27 + 23,05), TVA comprise. L'indemnité de conseil d'office est supportée par le canton, la victime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