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GE.2025.0110 vom 1. Juli 2025</w:t>
      </w:r>
    </w:p>
    <w:p>
      <w:r>
        <w:t>VD Tribunal cantonal, 2025-07-01, FR</w:t>
      </w:r>
    </w:p>
    <w:p>
      <w:r>
        <w:rPr>
          <w:b/>
        </w:rPr>
        <w:t xml:space="preserve">Quelle: </w:t>
      </w:r>
      <w:r>
        <w:t>https://mcp.opencaselaw.ch/entscheid/vd_omni_GE.2025.0110</w:t>
      </w:r>
    </w:p>
    <w:p>
      <w:r>
        <w:t>FR: VD_OMNI GE.2025.0110 du 1 juillet 2025</w:t>
      </w:r>
    </w:p>
    <w:p>
      <w:r>
        <w:t>IT: VD_OMNI GE.2025.0110 del 1 luglio 2025</w:t>
      </w:r>
    </w:p>
    <w:p>
      <w:pPr>
        <w:pStyle w:val="Heading2"/>
      </w:pPr>
      <w:r>
        <w:t>Regeste</w:t>
      </w:r>
    </w:p>
    <w:p>
      <w:r>
        <w:t>A.________/Police cantonale du commerce | Refus d'octroi d'une demande d'autorisation cantonale de chauffeur dépendant. Atteinte à la liberté économique proportionnée dès lors que le recourant a commis trois infractions à la LCR qui apparaissent encore sur son casier judiciaire (consid. 2).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ailleurs, en tant que destinataire de la décision contestée, le recourant a qualité pour recourir.</w:t>
      </w:r>
    </w:p>
    <w:p>
      <w:r>
        <w:rPr>
          <w:b/>
        </w:rPr>
        <w:t>E. 2</w:t>
      </w:r>
    </w:p>
    <w:p>
      <w:r>
        <w:t>Sur le fond, le recourant soutient que le refus de lui délivrer une autorisation de pratiquer constitue une atteinte disproportionnée à sa liberté économique (cf. art. 27 et 36 de la Constitution fédérale de la Confédération suisse du 18 avril 1999 [Cst.; RS 101]). a) 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143 II 598 consid. 5.1; ATF 137 I 167 consid. 3.1; ATF 135 I 130 consid. 4.2). L'activité de chauffeur de taxi indépendant est protégée par la liberté économique, même si celle-ci implique un usage accru du domaine public (cf. ATF 143 II 598 consid. 5; ég. TF 2C_548/2022 du 30 mai 2023 consid. 3.1; TF 2C_139/2021 du 12 juillet 2021 consid. 4.1; TF 2C_400/2021 du 18 août 2021 consid. 3.1 et les références). Qu'il y ait ou non usage du domaine public, l'Etat peut soumettre l'exercice de cette profession à l'obtention d'une autorisation (cf. TF 2C_548/2022 précité consid. 3.1; TF 2C_400/2021 précité consid. 3.1 et les références). Les restrictions cantonales à l'exercice de la profession de chauffeur de taxi sont ainsi sur le principe admissibles. Eu égard à l'atteinte à la liberté économique, les limitations du droit cantonal doivent toutefois reposer sur une base légale, être justifiées par un intérêt public prépondérant et respecter le principe de proportionnalité (cf. art. 36 al. 1 à 3 Cst.; TF 2C_548/2022 précité consid. 3.1; TF 2C_139/2021 précité consid. 4.1; TF 2C_400/2021 précité consid. 3.1). b) En l'espèce, en tant qu'elle refuse de délivrer au recourant une autorisation de chauffeur pratiquant le transport de personnes à titre professionnel, la décision attaquée porte, sur le principe, atteinte à sa liberté économique. Conformément à la jurisprudence rappelée ci-dessus, il convient d'examiner si cette atteinte est justifiée, à savoir si elle repose sur une base légale suffisante, si elle répond à un intérêt public prépondérant et si elle respecte le principe de proportionnalité. aa) Le refus litigieux est fondé sur l'art. 62e al. 1 de la loi sur l'exercice des activités économiques (LEAE; BLV 930.01), dont la teneur est la suivante: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La cour de céans a déjà eu l'occasion de juger que les "informations" listées par cette disposition, qui s'appliquent tant pour l'octroi de l'autorisation de chauffeur, respectivement la prolongation de celle-ci, que pour celui de l'autorisation d'exploiter une entreprise de transport (cf. CDAP GE.2022.0068 du 23 novembre 2022 consid. 3a et les références citées), devaient être comprises comme des conditions d'octroi de l'autorisation (cf. CDAP GE.2025.0052 du 22 mai 2025 consid. 2; GE.2024.0372 du 14 mars 2025 consid. 3b/aa; GE.2024.0250 du 19 décembre 2024 consid. 4a; GE.2020.0185 du 8 janvier 2021 consid. 3 et les références citées; TF 2C_139/2021 précité et 2C_400/2021 précité qui confirment la jurisprudence cantonale). Pour prétendre à de telles autorisations, l'absence de condamnation " à raison d'infractions pénales graves et intentionnelles protégeant l'intégrité physique ou sexuelle, d'infractions à la LFStup, d'infraction à la législation sur la circulation routière " doit ainsi être établie. Contrairement à ce que le requérant semble affirmer, la cour de céans considère que toute infraction à la LCR peut justifier un refus d'octroyer une autorisation de chauffeur dépendant (CDAP GE.2021.0018 du</w:t>
      </w:r>
    </w:p>
    <w:p>
      <w:r>
        <w:rPr>
          <w:b/>
        </w:rPr>
        <w:t>E. 3</w:t>
      </w:r>
    </w:p>
    <w:p>
      <w:r>
        <w:t>Les considérants qui précèdent conduisent au rejet du recours et à la confirmation de la décision attaquée. a) Compte tenu de ses ressources, le recourant a été mis au bénéfice de l'assistance judiciaire par décision du 8 mai 2025.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judiciaire en matière civile [RAJ; RSV 211.02.3] applicable par renvoi de l'art. 18 al. 5 LPA-VD). Les débours du conseil commis d'office sont fixés forfaitairement à 5% du défraiement hors taxe en première instance judiciaire (cf. art. 3bis al. 1 RAJ). En l'espèce, le conseil d'office du recourant a indiqué, dans sa liste d'opérations produite, avoir consacré, avec son avocat stagiaire, 11h30 à la présente affaire, pour un montant total de 1'644.16 fr., auquel s'ajoutent les débours forfaitaires de 82.20 fr. (1'644.16 x 5%) et la TVA de 139.83 fr. (1644.16 + 82.20 x 8.1%). Le montant total de l'indemnité d'office s'élève ainsi à 1'866.20 francs. b) Les frais de justice, arrêtés à 1'000 fr. (cf. art. 4 al. 1 du Tarif du 28 avril 2015 des frais judiciaires et des dépens en matière administrative [TFJDA; RSV 173.36.5.1]), devraient en principe être supportés par le recourant, qui succombe (cf. art. 49 LPA-VD). Toutefois, dès lors que ce dernier a été mis au bénéfice de l'assistance judiciaire, ces frais seront laissés à la charge de l'Etat (cf. art. 122 al. 1 let. b du code de procédure civile du 19 décembre 2008 [CPC; RS 272] , applicable par renvoi de l'art. 18 al. 5 LPA-VD). c) L'indemnité de conseil d'office et les frais de justice sont supportés provisoirement par le canton (cf. art. 122 al. 1 let. a CPC , applicable par renvoi de l'art. 18 al. 5 LPA-VD), le recourant étant rendu attentif au fait qu'il est tenu de rembourser les montants ainsi avancés dès qu'il sera en mesure de le faire (cf. art. 123 al. 1 CPC, applicable par renvoi de l'art. 18 al. 5 LPA-VD). Il incombe à la Direction générale des affaires institutionnelles et des communes (DGAIC) de fixer les modalités de ce remboursement (cf. art. 5 RAJ), en tenant compte des versements opérés durant la procédure. d) Le recourant, qui succombe, n'a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