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GE.2025.0098 vom 21. Oktober 2025</w:t>
      </w:r>
    </w:p>
    <w:p>
      <w:r>
        <w:t>VD Tribunal cantonal, 2025-10-21, FR</w:t>
      </w:r>
    </w:p>
    <w:p>
      <w:r>
        <w:rPr>
          <w:b/>
        </w:rPr>
        <w:t xml:space="preserve">Quelle: </w:t>
      </w:r>
      <w:r>
        <w:t>https://mcp.opencaselaw.ch/entscheid/vd_omni_GE.2025.0098</w:t>
      </w:r>
    </w:p>
    <w:p>
      <w:r>
        <w:t>FR: VD_OMNI GE.2025.0098 du 21 octobre 2025</w:t>
      </w:r>
    </w:p>
    <w:p>
      <w:r>
        <w:t>IT: VD_OMNI GE.2025.0098 del 21 ottobre 2025</w:t>
      </w:r>
    </w:p>
    <w:p>
      <w:pPr>
        <w:pStyle w:val="Heading2"/>
      </w:pPr>
      <w:r>
        <w:t>Regeste</w:t>
      </w:r>
    </w:p>
    <w:p>
      <w:r>
        <w:t>A.________, B.________, C.________, D.________, E.________, F.________, G.________, H.________, I.________, J.________, K.________, L.________, M.________, N.________, O.________, P.________, Q.________, R.________, S.________, T._______, U.________, V.________, W.________/Municipalité de Lausanne | Suppression de 21 places de parc pour voitures en vue d'aménager une piste cyclable. Recours de voisins rejetés: qualité pour recourir laissée indécise. Sur le fond, la mesure respecte le principe de proportionnalité et poursuit un intérêt public prépondérant. Elle est propre à favoriser le développement de la mobilité douce. La suppression de quelques places n'impactera pas non plus de manière excessive les recourants au bénéfice de macarons de stationnement dans le quartier.</w:t>
      </w:r>
    </w:p>
    <w:p>
      <w:pPr>
        <w:pStyle w:val="Heading2"/>
      </w:pPr>
      <w:r>
        <w:t>Erwägungen</w:t>
      </w:r>
    </w:p>
    <w:p>
      <w:r>
        <w:rPr>
          <w:b/>
        </w:rPr>
        <w:t>E. 1</w:t>
      </w:r>
    </w:p>
    <w:p>
      <w:r>
        <w:t>a) La décision attaquée porte sur des mesures de suppression de places de parc OSR 4.17 et OSR 4.18; cette abréviation fait référence à l'ordonnance du Conseil fédéral du 5 septembre 1979 sur la signalisation routière (OSR; RS 741.21). S'agissant du cadre légal entourant les mesures de restriction de trafic fondées sur l'OSR, on peut rappeler les points suivants: aa) Aux termes de l'art. 3 al.</w:t>
      </w:r>
    </w:p>
    <w:p>
      <w:r>
        <w:rPr>
          <w:b/>
        </w:rPr>
        <w:t>E. 2</w:t>
      </w:r>
    </w:p>
    <w:p>
      <w:r>
        <w:t>L'autorité intimée conteste la légitimation à recourir des intéressés, concluant de ce fait à l'irrecevabilité du recours. a) Aux termes de l'art. 75 LPA-VD, applicable par renvoi de l'art. 99 LPA-VD, a notamment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L'intérêt digne de protection au sens de cette disposition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avec la décision entreprise, dans un rapport suffisamment étroit, spécial et digne d'être pris en considération, et doit ainsi être touché dans une mesure et avec une intensité plus grande que l'ensemble des administrés. Le recours d'un particulier formé dans l'intérêt d'un tiers ou dans l'intérêt général est exclu; cette exigence a été posée de manière à éviter l'action populaire (ATF 138 II 162 consid. 2.1.2; 137 II 40 consid. 2.3 et les références; CDAP AC.2019.0258, AC.2019.0261 du 10 mars 2020 consid. 1a). Il incombe au recourant d'alléguer les faits propres à fonder sa qualité pour recourir lorsqu'ils ne ressortent pas de façon évidente de la décision attaquée ou du dossier (cf. ATF 139 II 499 consid. 2.2 p. 504; arrêts TF 1C_472/2019 du 15 décembre 2020 consid. 1.2.2; 1C_554/2019 du</w:t>
      </w:r>
    </w:p>
    <w:p>
      <w:r>
        <w:rPr>
          <w:b/>
        </w:rPr>
        <w:t>E. 5</w:t>
      </w:r>
    </w:p>
    <w:p>
      <w:r>
        <w:t>Vu l'issue du pourvoi, les recourants, qui succombent, supportent l'émolument de justice et n'ont pas droit à des dépens (art. 49 et 55 LPA-VD; ce d'autant qu'ils ne sont pas intervenus à la présente procédure avec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