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GE.2025.0072 vom 9. April 2025</w:t>
      </w:r>
    </w:p>
    <w:p>
      <w:r>
        <w:t>VD Tribunal cantonal, 2025-04-09, FR</w:t>
      </w:r>
    </w:p>
    <w:p>
      <w:r>
        <w:rPr>
          <w:b/>
        </w:rPr>
        <w:t xml:space="preserve">Quelle: </w:t>
      </w:r>
      <w:r>
        <w:t>https://mcp.opencaselaw.ch/entscheid/vd_omni_GE.2025.0072</w:t>
      </w:r>
    </w:p>
    <w:p>
      <w:r>
        <w:t>FR: VD_OMNI GE.2025.0072 du 9 avril 2025</w:t>
      </w:r>
    </w:p>
    <w:p>
      <w:r>
        <w:t>IT: VD_OMNI GE.2025.0072 del 9 aprile 2025</w:t>
      </w:r>
    </w:p>
    <w:p>
      <w:pPr>
        <w:pStyle w:val="Heading2"/>
      </w:pPr>
      <w:r>
        <w:t>Regeste</w:t>
      </w:r>
    </w:p>
    <w:p>
      <w:r>
        <w:t>A._______/PREFECTURE DU DISTRICT RIVIERA-PAYS D'ENHAUT | Recours contre un courriel d'une Préfecture sollicitant que l'auteur d'une demande fondée sur la LInfo s'identifie. L'acte attaqué ne constitue pas une décision de telle sorte que le recours est irrecevable.</w:t>
      </w:r>
    </w:p>
    <w:p>
      <w:pPr>
        <w:pStyle w:val="Heading2"/>
      </w:pPr>
      <w:r>
        <w:t>Erwägungen</w:t>
      </w:r>
    </w:p>
    <w:p>
      <w:r>
        <w:rPr>
          <w:b/>
        </w:rPr>
        <w:t>E. 1</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l'Etat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w:t>
      </w:r>
    </w:p>
    <w:p>
      <w:r>
        <w:rPr>
          <w:b/>
        </w:rPr>
        <w:t>E. 2</w:t>
      </w:r>
    </w:p>
    <w:p>
      <w:r>
        <w:t>En l'occurrence, l'acte attaqué ne constitue pas une décision au sens de ce qui précède. D'abord, l'autorité intimée ne s'y prononce pas sur le fond de la demande d'information du recourant. Ensuite, l'indication selon laquelle le recourant doit s'identifier par une signature électronique reconnue manuscrite ou encore en passant à la préfecture pour s'identifier, ne constitue pas non plus une décision dans la mesure où elle n'a pas d'incidence sur la situation juridique du recourant; à supposer que ce soit le cas, on ne voit pas à ce stade quel préjudice irréparable (art. 74 al. 4 let. a LPA-VD) subirait le recourant du fait qu'il doive s'identifier de la manière qu'il juge la plus adéquate, si bien que, s'agissant d'une décision incidente, un recours immédiat serait de toute manière irrecevable. Le recourant n'a pris en outre aucune conclusion tendant à faire constater un retard à ou un refus de statuer; il a d'ailleurs été interpelé à cet égard. Quoi qu'il en soit, le délai légal de réponse (art. 12 al. 1 LInfo) n'était pas échu lorsque le recourant a saisi la Cour de céans. En outre, ce dernier n'a pas interpelé préalablement l'autorité intimée.</w:t>
      </w:r>
    </w:p>
    <w:p>
      <w:r>
        <w:rPr>
          <w:b/>
        </w:rPr>
        <w:t>E. 3</w:t>
      </w:r>
    </w:p>
    <w:p>
      <w:r>
        <w:t>Il résulte de ce qui précède que le recours, à la limite de la témérité, est irrecevable. La procédure de recours devant le Tribunal cantonal en matière de LInfo étant gratuite, il n'est pas perçu d'émolument (art. 27 al. 1 LInfo).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