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GE.2024.0241 vom 20. August 2024</w:t>
      </w:r>
    </w:p>
    <w:p>
      <w:r>
        <w:t>VD Tribunal cantonal, 2024-08-20, FR</w:t>
      </w:r>
    </w:p>
    <w:p>
      <w:r>
        <w:rPr>
          <w:b/>
        </w:rPr>
        <w:t xml:space="preserve">Quelle: </w:t>
      </w:r>
      <w:r>
        <w:t>https://mcp.opencaselaw.ch/entscheid/vd_omni_GE.2024.0241</w:t>
      </w:r>
    </w:p>
    <w:p>
      <w:r>
        <w:t>FR: VD_OMNI GE.2024.0241 du 20 août 2024</w:t>
      </w:r>
    </w:p>
    <w:p>
      <w:r>
        <w:t>IT: VD_OMNI GE.2024.0241 del 20 agosto 2024</w:t>
      </w:r>
    </w:p>
    <w:p>
      <w:pPr>
        <w:pStyle w:val="Heading2"/>
      </w:pPr>
      <w:r>
        <w:t>Regeste</w:t>
      </w:r>
    </w:p>
    <w:p>
      <w:r>
        <w:t>A.________/Police cantonale du commerce | Irrecevabilité faute pour le recourant d'avoir régularisé son recours (signature) dans le délai imparti.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avril 2013 consid. 3.1 et les références citées; CDAP FI.2023.0172 du 18 janvier 2024; PS.2021.0089 du 21 décembre 2021); - que tel est bien la cas en l'espèce puisque le recourant a été averti qu'il devait guérir son recours dans un délai au 14 août 2024, ce qu'il n'a pas fait; - que le tribunal ne peut ainsi pas entrer en matière sur le recours (art. 47 al. 3 LPA-VD) ; - qu'un juge unique est compétent pour statuer sur les recours manifestement irrecevables (art. 94 al. 1 let. d LPA-VD); - que le présent arrêt d'irrecevabilité peut être rendu sans frais ni dépens (art. 49, 55, 91 et 99 LPA-VD);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