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GE.2024.0193 vom 11. Oktober 2024</w:t>
      </w:r>
    </w:p>
    <w:p>
      <w:r>
        <w:t>VD Tribunal cantonal, 2024-10-11, FR</w:t>
      </w:r>
    </w:p>
    <w:p>
      <w:r>
        <w:rPr>
          <w:b/>
        </w:rPr>
        <w:t xml:space="preserve">Quelle: </w:t>
      </w:r>
      <w:r>
        <w:t>https://mcp.opencaselaw.ch/entscheid/vd_omni_GE.2024.0193</w:t>
      </w:r>
    </w:p>
    <w:p>
      <w:r>
        <w:t>FR: VD_OMNI GE.2024.0193 du 11 octobre 2024</w:t>
      </w:r>
    </w:p>
    <w:p>
      <w:r>
        <w:t>IT: VD_OMNI GE.2024.0193 del 11 ottobre 2024</w:t>
      </w:r>
    </w:p>
    <w:p>
      <w:pPr>
        <w:pStyle w:val="Heading2"/>
      </w:pPr>
      <w:r>
        <w:t>Regeste</w:t>
      </w:r>
    </w:p>
    <w:p>
      <w:r>
        <w:t>A.________/Département de la culture, des infrastructures et des ressources, Municipalité d'Allaman | Recours contre des mesures de signalisations routières (pose d'horodateurs, interdiction de parquer, marquage de places de stationnement). Contrairement à ce que soutient le recourant, les mesures envisagées auront pour effet de diminuer le trafic routier en rendant moins attractif le stationnement. Le recourant ne parvient pas à démontrer qu'il obtiendra un avantage pratique à l'annulation ou à la modification desdites mesures. Recours jugé irrecevable.</w:t>
      </w:r>
    </w:p>
    <w:p>
      <w:pPr>
        <w:pStyle w:val="Heading2"/>
      </w:pPr>
      <w:r>
        <w:t>Erwägungen</w:t>
      </w:r>
    </w:p>
    <w:p>
      <w:r>
        <w:rPr>
          <w:b/>
        </w:rPr>
        <w:t>E. 1</w:t>
      </w:r>
    </w:p>
    <w:p>
      <w:r>
        <w:t>La CDAP examine d'office et librement la recevabilité des recours qui lui sont soumis. a)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b) Aux termes de l'art. 75 LPA-VD,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CDAP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arrêts CDAP AC.2019.0258, AC.2019.0261 du 10 mars 2020 consid. 1a). Il incombe au recourant d'alléguer les faits propres à fonder sa qualité pour recourir lorsqu'ils ne ressortent pas de façon évidente de la décision attaquée ou du dossier (cf. ATF 139 II 499 consid. 2.2 p. 504; arrêts TF 1C_472/2019 du 15 décembre 2020 consid. 1.2.2; 1C_554/2019 du</w:t>
      </w:r>
    </w:p>
    <w:p>
      <w:r>
        <w:rPr>
          <w:b/>
        </w:rPr>
        <w:t>E. 5</w:t>
      </w:r>
    </w:p>
    <w:p>
      <w:r>
        <w:t>mai 2020 consid. 3.1; arrêts CDAP AC.2020.0132 du 14 septembre 2021 consid. 2b; AC.2019.0047 du 26 mai 2020 consid. 1a). c)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L'existence d'un intérêt idéal ne suffit en outre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pour recourir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Code suisse de la circulation routière commenté, 5ème éd., Bâle 2024, n. 7.1.2b ad art. 3 LCR, qui rappelle que "comme il faut subir un dommage particulier touchant de façon particulière, l'usage régulier d'une route ne suffit pas; il faut rendre vraisemblable une atteinte claire" et que "la qualité pour agir n'est donnée que si l'on est spécialement touché de façon sensible").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(ibid., consid. 1d p. 197-198; cf. ég. CDAP GE.2015.0236 du 20 décembre 2016 consid. 2b et les références). La cour de céans a également jugé que la qualité pour recourir devait être niée lorsqu'une mesure de signalisation routière, en l'occurrence la suppression d'une place de stationnement, n'avait qu'un impact considéré comme "minime", ce qui ne suffit pas pour fonder la qualité pour recourir au sens de l'art. 75 let. a LPA-VD (CDAP GE.2021.0115 du 3 mai 2022 consid. 1b). d)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e) S'agissant des mesures sur les parcelles n° 204 et n° 356, le recourant fait valoir qu'elles n'auraient pas fait l'objet d'autorisations, respectivement qu'elles seraient contraires à la règlementation en vigueur en matière d'aménagement du territoire. En l'espèce, il y a lieu de constater que le recourant est propriétaire d'une parcelle comprenant une cour intérieure permettant le stationnement de véhicules, située à plus de 250 m de l'horodateur projeté sur la parcelle 356 et à plus de 130 m de l'horodateur projeté sur la parcelle 204. Le recourant n'a d'abord fait valoir aucun argument pour démontrer qu'il serait particulièrement atteint par ces mesures. Il a ensuite fait valoir que l'officialisation de ces places de stationnement engendrera un trafic supplémentaire dont il souffrira des nuisances. Cela étant, il ressort du dossier de la cause que ces parcelles sont déjà utilisées depuis de très nombreuses années pour le stationnement de véhicules. Les mesures contestées visent à limiter et encadrer ce stationnement. On ne voit dès lors pas en quoi elles engendreraient un trafic supplémentaire qui causerait des nuisances au recourant. Pour les mêmes motifs, à supposer que les mesures contestées aillent au-delà de simples mesures de signalisation routière comme le recourant tente de l'établir, parce qu'elles aboutiraient à "l'officialisation" d'un parking sur des parcelles situées hors zone à bâtir, il y aurait toutefois lieu de constater que le recourant ne parvient pas à démontrer qu'il obtiendrait un avantage pratique à l'annulation ou à la modification desdites mesures. Ainsi, il ne parvient pas à démontrer que les mesures litigieuses entraîneront avec certitude ou avec une grande vraisemblance des immissions le touchant spécialement. On ne peut dès lors pas admettre qu'il est touché dans un intérêt personnel se distinguant nettement de l'intérêt général des autres habitants de la collectivité concernée de manière à exclure l'action populaire comme l'exige la jurisprudence dans le domaine des constructions rappelée ci-dessus. Il est vrai que la propriété du recourant est plus proche, soit à une quarantaine de mètres de la troisième mesure litigieuse, à savoir le marquage au sol de sept places de stationnement le long de la route de la Plage et la pose d'un horodateur, sans aménagement particulier. Toutefois, contrairement à ce qu'allègue le recourant, ladite mesure ne vise pas à créer des places de stationnement supplémentaires mais à interdire le stationnement sur la route hors des cases, tout en marquant au sol sept places de stationnement. On rappellera à cet égard au recourant qu'en principe, il est permis de s’arrêter et de stationner sur la chaussée sur les routes secondaires, sauf si une disposition légale l'interdit (cf. art. 19 de l'ordonnance sur les règles de la circulation routière du 13 novembre 1962 [OCR; RS 741.11]). C'est dès lors à tort que le recourant fait valoir que la mesure litigieuse vise à créer des places de stationnement. Il résulte de ce qui précède que les décisions entreprises auront pour effet de limiter le stationnement. Dès lors, à supposer que les mesures litigieuses aient un effet sur le trafic routier, elles devraient plutôt le réduire en rendant moins attractive pour les automobilistes la zone en question. Le recourant se plaint encore de l'interdiction de stationner la nuit entre 23:00 et 06:00, de l'interdiction de stationner pour les camping-cars et de la localisation des places de parc à vélos. Là encore, il n'expose pas en quoi il serait particulièrement touché par ces mesures. D'une part, la propriété du recourant dispose d'une cour intérieure qui permet le stationnement de véhicules et des vélos. D'autre part, l'interdiction du stationnement durant la nuit et du camping n'est pas généralisée. En réalité, à lire son recours, le recourant qui invoque l'atteinte à la liberté des "habitants", le droit au camping ou l'encouragement de la mobilité douce, se pose un défendeur de l'intérêt général, pour la défense duquel le recours en matière administrative est exclu. 2. Il s'ensuit que le recours est irrecevable . Le recourant, qui succombe, supportera les frais de justice (cf. art. 49 al. 1 LPA-VD) et versera des dépens à l'autorité intimée qui a procédé avec l'assistance d'un mandataire professionnel. (art. 55 LPA-VD; art. 10 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