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GE.2023.0156 vom 2. Oktober 2023</w:t>
      </w:r>
    </w:p>
    <w:p>
      <w:r>
        <w:t>VD Tribunal cantonal, 2023-10-02, FR</w:t>
      </w:r>
    </w:p>
    <w:p>
      <w:r>
        <w:rPr>
          <w:b/>
        </w:rPr>
        <w:t xml:space="preserve">Quelle: </w:t>
      </w:r>
      <w:r>
        <w:t>https://mcp.opencaselaw.ch/entscheid/vd_omni_GE.2023.0156</w:t>
      </w:r>
    </w:p>
    <w:p>
      <w:r>
        <w:t>FR: VD_OMNI GE.2023.0156 du 2 octobre 2023</w:t>
      </w:r>
    </w:p>
    <w:p>
      <w:r>
        <w:t>IT: VD_OMNI GE.2023.0156 del 2 ottobre 2023</w:t>
      </w:r>
    </w:p>
    <w:p>
      <w:pPr>
        <w:pStyle w:val="Heading2"/>
      </w:pPr>
      <w:r>
        <w:t>Regeste</w:t>
      </w:r>
    </w:p>
    <w:p>
      <w:r>
        <w:t>A.________/Municipalité de Jongny, B.________ | Paiement tardif d'une avance de frais en raison d'une négligence imputable à la recourante. Recours irrecevable.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juin 2009 et 2A.728/2006 du 18 avril 2007 consid. 3.2; CDAP FI.2021.0052 du 18 octobre 2021; CR.2015.0013 du 18 mars 2015; PE.2014.0049 du 3 mars 2014; PE.2013.0247 du 14 août 2013); - qu’en l’occurrence, la recourante explique que le retard dans le paiement de l’avance de frais est due à une erreur de son service des finances. Imputable ainsi à la partie elle-même, cette négligence ne constitue ni un cas d’impossibilité objective, ni d’impossibilité subjective due à des circonstances personnelles excusables (v. sur ce point arrêt TF 2C_911/2010 du 7 avril 2011 consid. 3; 1D_7/2009 du 16 novembre 2009, consid. 4; 9C_137/2008 du 22 juin 2009 et 2A.728/2006 du 18 avril 2007 consid. 3.2). Dans ces conditions, il n'y a pas lieu de restituer le délai échu; - que le Tribunal ne peut ainsi pas entrer en matière sur le recours qui est irrecevable (art. 47 al. 3 LPA-VD); - que le présent arrêt d'irrecevabilité peut être rendu sans frais ni dépens (art. 49, 52, 55, 56, 91 et 99 LPA-VD); - qu'un juge unique est compétent pour statuer sur les recours manifestement irrecevables (art. 94 al. 1 let. d LPA-VD);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