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GE.2023.0143 vom 21. August 2023</w:t>
      </w:r>
    </w:p>
    <w:p>
      <w:r>
        <w:t>VD Tribunal cantonal, 2023-08-21, FR</w:t>
      </w:r>
    </w:p>
    <w:p>
      <w:r>
        <w:rPr>
          <w:b/>
        </w:rPr>
        <w:t xml:space="preserve">Quelle: </w:t>
      </w:r>
      <w:r>
        <w:t>https://mcp.opencaselaw.ch/entscheid/vd_omni_GE.2023.0143</w:t>
      </w:r>
    </w:p>
    <w:p>
      <w:r>
        <w:t>FR: VD_OMNI GE.2023.0143 du 21 août 2023</w:t>
      </w:r>
    </w:p>
    <w:p>
      <w:r>
        <w:t>IT: VD_OMNI GE.2023.0143 del 21 agosto 2023</w:t>
      </w:r>
    </w:p>
    <w:p>
      <w:pPr>
        <w:pStyle w:val="Heading2"/>
      </w:pPr>
      <w:r>
        <w:t>Regeste</w:t>
      </w:r>
    </w:p>
    <w:p>
      <w:r>
        <w:t>A.________, B.________/Département de l'enseignement et de la formation professionnelle (DEF), Etablissement primaire et secondaire de l'Elysée, Etablissement primaire et secondaire de Préverenges et | Irrecevabilité du recours pour défaut de paiement de l'avance de frais.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juillet 2023, un avis a été déposé dans la boîte aux lettres des recourants à la même date (selon les indications figurant sur les relevés de suivi des envois de La Poste), soit plusieurs jours avant l'absence annoncée; le fait que les recourants n'ont pas retiré les courriers recommandés en question est d'autant plus étonnant que, le 27 juillet 2023, ils ont eux-mêmes adressé au tribunal le pli recommandé contenant une copie de leur recours; les recourants n'ont pour le reste donné aucune suite aux courriers ultérieurs du tribunal; - que le tribunal ne peut ainsi pas entrer en matière sur le recours (cf. art. 47 al. 3 LPA-VD) ; - que le présent arrêt d'irrecevabilité peut être rendu sans frais ni dépens (cf. art. 49, 52, 55, 56, 91 et 99 LPA-VD) ; - qu'un juge unique est compétent pour statuer sur les recours manifestement irrecevables (art. 94 al. 1 let. d LPA-VD) 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