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GE.2023.0116 vom 12. Januar 2024</w:t>
      </w:r>
    </w:p>
    <w:p>
      <w:r>
        <w:t>VD Tribunal cantonal, 2024-01-12, FR</w:t>
      </w:r>
    </w:p>
    <w:p>
      <w:r>
        <w:rPr>
          <w:b/>
        </w:rPr>
        <w:t xml:space="preserve">Quelle: </w:t>
      </w:r>
      <w:r>
        <w:t>https://mcp.opencaselaw.ch/entscheid/vd_omni_GE.2023.0116</w:t>
      </w:r>
    </w:p>
    <w:p>
      <w:r>
        <w:t>FR: VD_OMNI GE.2023.0116 du 12 janvier 2024</w:t>
      </w:r>
    </w:p>
    <w:p>
      <w:r>
        <w:t>IT: VD_OMNI GE.2023.0116 del 12 gennaio 2024</w:t>
      </w:r>
    </w:p>
    <w:p>
      <w:pPr>
        <w:pStyle w:val="Heading2"/>
      </w:pPr>
      <w:r>
        <w:t>Regeste</w:t>
      </w:r>
    </w:p>
    <w:p>
      <w:r>
        <w:t>A.________, B.________, C.________, D.________/Direction générale des affaires institutionnelles et des communes | Rejet du recours interjeté contre une décision allouant aux recourants une réparation morale en leur qualité de proche d'une personne victime, réduite en raison de leur domicile à l'étranger. En raison du caractère tragique du décès et des liens étroits qu'ils entretenaient avec leur mère, il se justifie de fixer à 15'000 fr., le montant de base dû à titre de réparation morale à chaque recourant. Compte tenu de leur domicile dans des pays où le coût de la vie est plus faible qu'en Suisse, il se justifie de réduire cette indemnité. La quotité de la réduction de 65 % de l'indemnité due à la recourante domiciliée en Pologne est justifiée. Sur la base des critères de comparaison admis par la jurisprudence (enquête UBS sur le niveau des prix et des salaires, données de la Banque mondiale, indice du niveau des prix de l'OCDE), il y a lieu d'admettre que la différence du coût de la vie entre l'Espagne et la Suisse dépasse largement le seuil traditionnel de 30 %. Il y a donc lieu de s'écarter de l'arrêt rendu par le Tribunal fédéral dans la cause 6B_58/2016 du 18 août 2016 et d'opérer une réduction de 30 % de l'indemnité due aux recourants domiciliés en Espagne. L'autorité intimée a donc statué dans les limites de son large pouvoir d'appréciation. Pas de violation de l'égalité de traitement ou de l'interdiction de la discrimination en opérant une distinction fondée sur le domicile à l'étranger de chaque recourant. Recours au TF admis (1C_102/2024).</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 LVLAVI; BLV 312.41). Conformément à l'art. 16 LVLAVI, les décisions rendues par cette direction peuvent faire l'objet d'un recours au Tribunal cantonal, selon les règles ordinaires de la loi vaudoise du 28 octobre 2008 sur la procédure administrative (LPA-VD; BVL 273.36). En l'espèce, le recours a été formé en temps utile (art. 95 LPA-VD) et il respecte les autres conditions légales de recevabilité (art. 75, 76 et 79 LPA-VD, par renvoi de l'art. 99 LPA-VD). Il y a donc lieu d'entrer en matière sur le fond.</w:t>
      </w:r>
    </w:p>
    <w:p>
      <w:r>
        <w:rPr>
          <w:b/>
        </w:rPr>
        <w:t>E. 2</w:t>
      </w:r>
    </w:p>
    <w:p>
      <w:r>
        <w:t>Le litige porte sur le montant de l'indemnité pour tort moral alloué aux recourants au titre de l'aide aux victimes d'infraction. 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b) En l'occurrence, il n'est pas contesté que les recourants revêtent la qualité de victime et que la gravité de l'atteinte justifie, sur le principe, le droit à une réparation morale.</w:t>
      </w:r>
    </w:p>
    <w:p>
      <w:r>
        <w:rPr>
          <w:b/>
        </w:rPr>
        <w:t>E. 3</w:t>
      </w:r>
    </w:p>
    <w:p>
      <w:r>
        <w:t>Les recourants font d'abord valoir que l'autorité intimée a violé son pouvoir d'appréciation en fixant à 15'000 fr. le montant de l'indemnité due à chacun des recourants à titre de réparation morale. Ils estiment que l'autorité intimée n'a pas suffisamment tenu compte du caractère odieux et cruel de l'acte – étranglement au moyen d'un câble radio-réveil – ainsi que du fait que l'auteur s'était ensuite donné la mort, les privant ainsi de pouvoir obtenir des explications ou des éclaircissements sur les circonstances de l'homicide. Au vu des circonstances, les recourants estiment pouvoir prétendre à une indemnité de 25'000 fr. chacun. a) A teneur de l'art. 23 LAVI, le montant de la réparation morale est fixé en fonction de la gravité de l’atteinte (al. 1). Il ne peut excéder 35'000 fr. lorsque l’ayant droit est un proche (al. 2 let. b). Le système d'indemnisation instauré par la LAVI est subsidiaire par rapport aux autres possibilités d'obtenir réparation que la victime possède déjà (cf. art. 4 LAVI). Au regard des particularités de ce système, le Tribunal fédéral (TF)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(ATF 129 II 312 consid. 2.3; TF 1C_845/2013 du 2 septembre 2014 consid. 5; 1C_296/2012 du 6 novembre 2012 consid. 3.1). Une réparation morale allouée par l’Etat n’a pas à être identique, dans son montant, à celle que verserait l’auteur de l’infraction (cf. ég. ATF 129 II 312 consid. 2.3 et TF 1C_845/2013 précité consid. 5, qui rappellent, dans ce cadre, que la collectivité n'est pas responsable des conséquences de l'infraction, mais seulement liée par un devoir d'assistance publique envers la victime). L'Office fédéral de la Justice (OFJ) a établi au mois d'octobre 2008 un " Guide relatif à la fixation du montant de la réparation morale à titre d’aide aux victimes d’infractions " (Guide OFJ). Il en ressort que la somme allouée en cas de décès d'un parent, se situe entre 10'000 fr et 35'000 fr. Le guide relève différents critères de fixation du montant, en lien avec (i) les conséquences directes de l'acte, (ii) le déroulement de l'acte et les circonstances, (iii) la situation de la victime ou du proche ainsi que (iv) la qualité et l'intensité de la relation ou des liens entre la victime et le proche. Dans ce guide, l'OFJ rappelle par ailleurs que le montant de la réparation morale devra être calculé selon une échelle dégressive indépendante des montants accordés en droit civil, même si ceux-ci peuvent servir à déterminer quels types d'atteintes donnent lieu à l'octroi des montants les plus élevés (Guide OFJ, ch. 17, p. 6). b) Concernant la détermination du montant à verser à la victime ou au proche à titre de réparation morale, il convient d'appliquer les art. 47 et 49 CO par analogie (art. 22 al. 1 LAVI) - en tenant compte de ce que le système d'indemnisation du dommage et du tort moral prévu par la LAVI répond à l'idée d'une prestation d'assistance et non à celle d'une responsabilité de l'Etat, comme la jurisprudence qui vient d'être citée l'a retenu.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arrêts GE.2016.0007 du 10 novembre 2016, consid. 2d, et GE.2015.0062 du 21 mars 2016, consid. 2c et les références). Si le montant alloué à titre de réparation morale ne peut ainsi pas être fixé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arrêts GE.2016.0007 précité, consid. 2d, et GE.2015.0062 précité, consid. 2c et les références). c) Dans la décision entreprise, l'autorité intimée se réfère à différentes décisions dans lesquelles ont été allouées des indemnités à des enfants en cas de décès d'un parent. Ainsi, 20'000 fr. ont été alloués à un enfant mineur qui avait perdu son parent avec lequel il faisait ménage commun et qui a dû déménager par la suite. La même somme a été allouée à un enfant de 10 ans ayant découvert sa mère poignardée ou encore à un enfant ayant vu son père étrangler puis poignarder sa mère (Décision entreprise, p. 5). 18'000 fr. ont été alloués à chacun des enfants d'une femme tuée par un client alors qu'elle exerçait la profession de prostituée, étant précisé que la fille avait découvert le corps sans vie de sa mère, gisant nue sur le sol dans une mare de sang (Décision du 26 mai 2014, LAVI 1601/2013). L'autorité intimée se réfère également à d'autres affaires dans lesquelles une indemnité de 15'000 fr. a été octroyée à une fille ayant perdu son père de 64 ans frappé par un inconnu ainsi qu'à un enfant dont la mère avait été abattue par balle sur la voie publique. Dans une autre une affaire, 12'000 fr. ont été alloués à un enfant dont la mère avait été abattue par balle par le père, ce dernier s'étant ensuite donné la mort (Décision entreprise, p. 5 et 6). Il ressort de cette compilation présentant ces cas récents, que les montants alloués en application de la LAVI oscillent entre 12'000 fr. et 20'000 fr pour des enfants, pour la plupart mineurs, ayant perdu un parent dans des circonstances analogues. Ces montants correspondent à ceux qui ressortent de la jurisprudence compilée dans la doctrine selon laquelle le montant à octroyer en cas de décès de l'un des parents oscille entre 8'000 fr. et 18'000 fr, étant précisé que ce sont les enfants en bas âge et faisant ménage commun avec la victime qui reçoivent les montants les plus élevés (Stéphanie Converset, Aide aux victimes d'infractions et réparation du dommage, thèse Genève 2009, p. 303 s). d) En l'espèce, les faits qui fondent la demande d'indemnisation des recourants ne sont pas contestés. Pour fixer le montant de l'indemnité, l'autorité intimée a retenu que les recourants étaient très proches de leur défunte mère et en contact très régulier avec elle, nonobstant la distance qui les séparaient. L'autorité intimée a retenu les circonstances tragiques de la disparition de feu E.________ et pris en compte les séquelles psychologiques évidentes qui résultaient de cette disparition pour les recourants. A raison, l'autorité intimée a également indiqué avoir tenu compte de l'âge des recourants au moment du décès et de l'absence de ménage commun. e) Compte tenu de ce qui précède ainsi que de la casuistique récente rappelée par l'autorité intimée, il faut admettre que cette dernière, qui dispose d'un certain pouvoir d'appréciation, n'en a pas abusé, en fixant à 15'000 fr. l'indemnité due à chacun des recourants.</w:t>
      </w:r>
    </w:p>
    <w:p>
      <w:r>
        <w:rPr>
          <w:b/>
        </w:rPr>
        <w:t>E. 3.2</w:t>
      </w:r>
    </w:p>
    <w:p>
      <w:r>
        <w:t>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Pour ce qui est des faits notoires, la jurisprudence a admis qu'il n'était pas nécessaire de les alléguer ni de les prouver et que le juge peut les prendre en considération d'office (cf. TF 2C_358/2020 du 24 mars 2021 consid. 2; TF 2C_80/2020 du 15 octobre 2020 consid. 2; TF 1C_91/2018 du 29 janvier 2019 consid. 2.1).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143 IV 380 consid. 1.1.1; 135 III 88 consid. 4.1), à l'instar par exemple des indications figurant au registre du commerce des cantons accessibles sur Internet (ATF 143 IV 380 consid. 1.1.1; 138 II 557 consid. 6.2). En l'espèce, l'autorité intimée s'est appuyée sur des critères de comparaison admis par la jurisprudence. Les chiffres contenus dans les divers rapports officiels sur lesquels l'autorité intimée s'est fondée pour justifier la réduction des indemnités peuvent être considérés comme suffisamment certains pour que, sous l'angle du droit d'être entendu, rien ne puisse être reproché à la décision attaquée. L'autorité était dès lors fondée à utiliser le rapport UBS sur les prix et les salaires ainsi que les données de la Banque mondiale. L'autorité intimée n'avait pas à donner l'occasion aux recourants de se déterminer au sujet de l'utilisation de ces données avant de rendre sa décision. Il en va d'ailleurs de même des recourants qui ont fondé des griefs de leur recours sur d'autres chiffres que ceux retenus dans la décision attaquée (recours, ch. 34, en produisant les pièces nécessaires). Autre est la question de savoir quelle est la portée juridique de ces différents données sur le cas d'espèce, qui fera l'objet d'un développement ultérieur. La décision entreprise a donc été suffisamment motivée pour que les recourants puissent l'attaquer utilement et il ne peut être reproché à l'autorité intimée de s'être fondée sur des données disponibles sur internet pour apprécier le niveau de vie des pays dans lesquels certains parmi les recourants habitent. Par ailleurs, comme on le constatera à la lecture des considérants qui suivront, la décision entreprise contient tous les faits nécessaires à la subsomption (ATF 133 IV 393 consid. 3.4.1), de même que tous les griefs et moyens de preuve décisifs pour l'issue du litige (ATF 142 II 154 consid. 4.2; 139 IV 179 consid. 2.2). Mal fondé, ce grief doit être rejeté. c) Les recourants font grief à l'autorité intimée de s'être laissé guider exclusivement par la différence des niveaux de vie entre les pays pour fixer la réduction de l'indemnité, de manière purement schématique, ce qui aboutirait à un résultat inéquitable. aa) S'agissant de la réduction de 65 % opérée pour l'indemnité de la recourante domiciliée en Pologne, l'autorité intimée a constaté que le niveau de vie était au moins 5,6 fois plus bas en Pologne qu'en Suisse (Décision entreprise, p. 8). Pour faire ce constat, l'autorité intimée s'est basée sur l'enquête UBS sur les prix et les salaires. Il ressort ainsi de ce rapport qu'en 2015, le niveau des salaires s'élevait à 100 points à Zurich et à 17.7 points à Varsovie (100/17.7 = 5.64). Les salaires à Varsovie étaient donc 84.2 % plus bas que ceux pratiqués à Zurich. C'est le lieu toutefois de relever que l'autorité intimée s'est fondée uniquement sur le niveau des salaires dans la décision entreprise. Or, dans l'arrêt GE.2022.0092 précité, la Cour de céans s'est également référé au niveau des prix (consid. 3c). Il convient également de se référer à l'indice UBS sur le pouvoir d'achat intérieur. Il ressort de l'enquête UBS de 2015 que le niveau des prix à Varsovie est inférieur à celui de Zurich et s'élevait à 42,7 points contre 100 points, soit une différence de 57,3 %. Toujours selon l'indice UBS, le niveau du pouvoir d'achat intérieur s'élève à 32,3 points à Varsovie contre 100 points à Zurich, soit une différence de 67,7 %. En outre, il ressort de l'indice des niveaux des prix publiés par l'Organisation de coopération et de développement économiques (ci-après: OCDE) que le niveau des prix est 2.58 fois plus bas en Pologne (53 points) qu'en Suisse (137 points) (https://data.oecd.org/fr/price/indices-des-niveaux-de-prix.htm), soit une différence de 61.31 %. Il ressort enfin des données de la Banque mondiale pour l'année 2021 produit par l'autorité intimée au cours de la présente procédure que le revenu national brut en Pologne ($ 18'350.00) était près de 5 fois inférieur à celui en Suisse ($ 89'450.00), soit une différence de 79.48 %. Sur la base de ce qui précède, il faut retenir que le coût de la vie en Pologne est inférieur de 57,3 % à 84,2 % à celui de la Suisse en fonction des indicateurs utilisés. Il s'agit d'une différence importante qui justifie une réduction de l'indemnité en application de l'art. 27 al. 3 LAVI. En fixant le taux de réduction à 65 %, l'autorité intimée ne s'est pas contentée de faire recours aux outils statistiques. Elle a également examiné sa pratique et comparé la Pologne à la Bulgarie ou à la Roumanie, pays dans lesquels un taux de réduction de 75 % avait été appliqué (arrêt GE.2016.0012 précité, consid. 5d). Conformément à la jurisprudence, elle n'a pas adopté une approche purement arithmétique pour déterminer le taux de réduction applicable. Ce dernier est en outre très proche de celui qui a récemment été appliqué s'agissant d'une victime domiciliée au Brésil. Ce pays présente des indices économiques légèrement meilleurs que ceux de la Pologne (s'agissant des indices sur le niveau des prix, des salaires et du pouvoir d'achat du rapport UBS 2015 ainsi que l'indice des niveaux de prix de l'OCDE) et la Cour de céans avait retenu qu'il était admissible de pratiquer une réduction de 60 % (arrêt GE.2022.0092 précité). Enfin, la recourante n'allègue ni ne prouve qu'elle aurait des liens particuliers avec la Suisse qui justifieraient une réduction moins importante de son indemnité. L'approche de l'autorité intimée doit donc être confirmée s'agissant de la Pologne. bb) S'agissant de la réduction opérée pour l'indemnité des recourants domiciliés en Espagne, l'autorité intimée a constaté que le coût de la vie était 3.1 fois plus bas en Espagne qu'en Suisse. Ce constat a notamment été fait sur la base de l'enquête UBS sur le niveau des salaires. Il ressort de ce rapport qu'en 2015, le niveau des salaires s'élevait à 100 points à Zurich et à 32,5 points à Madrid et 33 points à Barcelone, soit une différence d'environ 67 %. Si l'on se réfère à l'enquête sur le niveau des prix d'UBS, le niveau des prix à Barcelone était de 54,5 points et de 54.4 points à Madrid par rapport à Zurich (100 points), soit une différence de l'ordre de 45,5 %. L'enquête sur le niveau du pouvoir d'achat intérieur indique qu'il s'élève à 51,4 points à Barcelone et à 52,9 points à Madrid, soit une différence de l'ordre de 50 %. Cette différence de niveau de vie est confirmée par le revenu national brut par habitant qui est trois fois plus bas en Espagne ($ 31'680.00) qu'en Suisse ($ 89'450.00), soit une différence de l'ordre de 64.58 %, selon les données de la Banque mondiale (https://donnees.banquemondiale.org/indicateur/NY.GNP.PCAP.CD?locations=CH-ES&amp;name_desc=false). Il ressort enfin de l'indice des niveaux de prix de l'OCDE que le niveau des prix est seulement 1.7 fois plus bas en Espagne (80 points) qu'en Suisse (137 points) (https://data.oecd.org/fr/price/indices-des-niveaux-de-prix.htm), soit une différence de l'ordre de 41.60 %. Enfin, les chiffres produits par les recourants indiquent que selon l'Office fédéral de la statistique, les prix en Espagne (94.4 points) sont inférieurs à 38.86 % aux prix pratiqués en Suisse (154.4 points) et le pouvoir d'achat est inférieur en Espagne (0.944151) de 43,42 % à celui en Suisse (1.66888). Il en résulte que le coût de la vie en Espagne est inférieur de 38.86 % à 67 % à celui de la Suisse. Dans son arrêt TF 1C_106/2008 du 24 septembre 2008, le Tribunal fédéral a estimé qu'il ne se justifiait pas de réduire une indemnité versée au Portugal car les différences du coût de la vie seraient beaucoup moins frappantes (consid. 4.2). Pour arriver à ce résultat, le Tribunal fédéral a retenu que le coût de la vie au Portugal correspondait à 70 % de celui en Suisse, sans toutefois exposer les critères retenus pour faire ce constat (ibid.). Dans un arrêt du 18 août 2016, le Tribunal fédéral a reconnu que le coût de la vie en Espagne, similaire à celui du Portugal et correspondant à 70 % du coût de la vie en Suisse, n'impliquait aucune réduction de l'indemnité pour tort moral (TF 6B_58/2016 du 18 août 2016, consid. 4). Le Tribunal fédéral n'expose toutefois pas les statistiques retenues pour déterminer le coût de la vie en Espagne. Sur la base de ces arrêts, la doctrine a considéré que pour le Tribunal fédéral, une différence de 30 % des indices UBS et de l'OCDE au sujet du coût de la vie entre la Suisse et le pays concerné, ne présentait pas une disproportion flagrante justifiant une réduction de l'indemnité (Gomm, op. cit., n. 24 ad art. 27 LAVI) . Se fondant sur les arrêts précités, la Cour de Justice de la République et canton de Genève a estimé à nouveau sans préciser les critères utilisés pour déterminer le coût de la vie, qu'il n'y avait pas lieu de procéder à la réduction de l'indemnité allouée à des personnes résidant en Espagne, dès lors que ce pays présentait " une différence de vie de 30 % avec la Suisse " (Cour de Justice A/2097/2018 du 9 avril 2019, consid. 15c). De même, le Tribunal administratif du canton de Soleure a estimé que le coût de la vie en France, représentant environ 67 % du coût de la vie en Suisse, n'était pas une différence assez importante pour justifier une réduction de l'indemnité (VWBES.2018.10 du 21 juin 2018, consid. 6.3 et 6.4. En l'espèce et contrairement à ce qui ressort des arrêts précités, l'autorité intimée a mis en lumière dans la décision entreprise une différence importante du coût de la vie entre la Suisse et l'Espagne, que la cour de céans ne peut que confirmer. Il ressort des considérants qui précèdent que cette différence atteint les 40 % et va même jusqu'à 67 % en fonction des indicateurs utilisés. Elle dépasse largement le seuil traditionnel de 30 % qui ressort de la jurisprudence et de la doctrine précitées. Le Tribunal ne saurait ignorer ces différences importantes qui doivent donner lieu à une réduction de l'indemnité. Il y a donc lieu d'admettre que la différence du coût de la vie entre la Suisse et l'Espagne doit conduire à la réduction de l'indemnité s'agissant des recourants domiciliés en Espagne. cc) S'agissant de la quotité de la réduction, il ressort des considérants qui précèdent que le coût de la vie en Espagne (entre 41,6 % et 67 % inférieur à la Suisse, soit 1,6 fois à 3 fois plus bas) est plus élevé qu'en Pologne (entre 57,3 % à 84,2 %, soit 2.3 fois à 6,3 fois plus bas). Le coût de la vie en Espagne est donc plus de deux fois supérieur à celui de la Pologne. Il se justifie dès lors d'appliquer un facteur de réduction de 30 % pour tenir compte de la situation en Espagne. Les recourants n'allèguent ni ne prouvent qu'ils entretiendraient avec la Suisse des liens suffisamment étroits pour justifier une réduction moins importante. L'autorité intimée a tenu compte des circonstances déterminantes et des indicateurs économiques pertinents. Elle a donc statué dans le respect du droit et dans les limites de son large pouvoir d'appréciation. La réduction de 30% opérée ne prête pas le flanc à la critique d) Les recourants font enfin grief à l'autorité intimée d'avoir opéré une distinction entre le recourant domicilié aux Etats-Unis d'Amérique (pas de réduction de son indemnité), la recourante domiciliée en Pologne (réduction de son indemnité de 65%) et les recourants domiciliés en Espagne (réduction de leur indemnité de 30 %). Il serait inéquitable d'allouer des montants différents sur le seul critère du lieu de domicile, alors même que ces lieux de domiciles peuvent changer. Les recourants font également grief à la décision entreprise de violer l'interdiction de discrimination prévue à l'art. 14 de la Convention de sauvegarde des droits de l’homme et des libertés fondamentales (CEDH; RS 0.101) et à l'art. 1 er du Protocole n°12 de la CEDH, combinés avec l'art. 8 CEDH. L'art. 14 CEDH garantit l'interdiction de discrimination, dont il résulte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Le simple fait que le lieu de domicile des recourants soit susceptible de changer ne saurait avoir un impact sur l'application de l'art. 27 al. 3 LAVI. C'est d'autant plus le cas que les recourants n'expliquent ni ne démontrent en quoi leurs lieux de domiciles, inchangés depuis le décès de leur mère, pourraient changer à terme. Par ailleurs, les recourants perdent de vue que l'art. 27 al. 3 LAVI vise à éviter qu'une personne domiciliée à l'étranger soit privilégiée en raison du coût de la vie moins élevé, notamment en évitant une indemnisation disproportionnée (GE.2022.0092 précité, consid.3b; FF 2005 6750; Converset, op. cit., p. 289) . Il serait manifestement inéquitable de verser la même indemnité à tous les recourants dès lors qu'ils vivent dans trois pays différents et présentant un coût de la vie très différent. Mal fondé, ce grief doit également être rejeté.</w:t>
      </w:r>
    </w:p>
    <w:p>
      <w:r>
        <w:rPr>
          <w:b/>
        </w:rPr>
        <w:t>E. 4</w:t>
      </w:r>
    </w:p>
    <w:p>
      <w:r>
        <w:t>Les trois premiers recourants font ensuite grief à la décision entreprise d'avoir réduit l'indemnité pour réparation morale à laquelle ils ont droit afin de tenir compte de leur domicile à l'étranger, en particulier du coût de la vie. a) Selon l'art. 27 al. 3 LAVI: "La réparation morale peut être réduite lorsque l’ayant droit a son domicile à l’étranger et que, en raison du coût de la vie à son domicile, la réparation morale serait disproportionnée". Alors qu'avant la révision de la LAVI, le Tribunal fédéral admettait déjà qu'était exceptionnellement admissible la réduction d’une indemnité pour tort moral en présence d’une différence notable du coût de la vie entre la Suisse et le pays de domicile à l’étranger de l’ayant droit (ATF 123 III 10 consid. 4c/bb); ce cas de figure est désormais explicitement réglé par la loi (arrêt GE 2016.0012 du 18 juillet 2016, consid.5b). Selon le Message du Conseil fédéral concernant la révision totale de la LAVI (FF 2005 6683; ci-après: Message LAVI), l’aide aux victimes est un acte de solidarité de la collectivité envers la victime, de sorte qu'il est équitable de prendre en compte un coût de la vie moins élevé lorsque le bénéficiaire habite à l’étranger (Message LAVI, p. 6750 s.). La différence entre le coût de la vie à l’étranger et le coût de la vie en Suisse doit toutefois être suffisamment importante pour justifier une réduction (Message LAVI, p. 6750 s.; TF 1C_106/2008 du 24 septembre 2008 consid. 4.2; arrêt GE.2022.0092 du 21 décembre 2022, consid. 3b). Tel est le cas lorsque l’application des normes de calcul usuelles entraînerait une indemnisation disproportionnée des victimes et de leurs proches domiciliés à l’étranger par rapport aux personnes domiciliées en Suisse (Message LAVI, p. 6750 s.). Cela aboutirait à un résultat qui ne serait pas justifiable par des motifs sérieux tirés d’une pesée de tous les intérêts et qui serait en conséquence inéquitable (ATF 125 II 554 consid. 2b et 4a; arrêt GE.2016.0012 précité, consid. 5b). A l’inverse, un niveau du coût de la vie plus élevé à l’étranger n’entraîne pas une augmentation de la réparation morale (Message LAVI, p. 6751). La Cour de céans a estimé que les différences de pouvoir d'achat n'avaient pas à être déterminées de manière exacte selon des critères scientifiques. Ainsi, il suffit que ceux-ci résultent de critères de comparaison objectifs, tels que des renseignements officiels sur le niveau des salaires et des prix comme le Rapport UBS 2015 sur les prix et les salaires, les données de la Banque mondiale sur le revenu national brut par habitant ou encore l'indice du niveau des prix de l'OCDE (arrêt GE.2022.0092 précité, consid. 3b et 3c; cf. aussi Peter Gomm, in: Gomm/Zehntner [éd.], Kommentar zum Opferhilfegesetz, 4ème éd., Berne 2020, n. 22 ad art. 27 LAVI). Il convient de garder à l'esprit que ces critères doivent servir à établir le coût de la vie à l'étranger. Ainsi, l'indice du pouvoir d'achat intérieur du Rapport UBS 2015, qui intègre à la fois les données sur les prix et les données sur les salaires, donne une meilleure image du coût de la vie que l'indice sur le niveau des salaires pris à lui seul. Cela étant, il faut rappeler que la constatation d’une différence importante de pouvoir d’achat ne doit pas conduire à la réduction schématique du montant de la réparation morale, qui correspondrait exactement ou à peu près au rapport entre le coût de la vie en Suisse et celui existant dans le pays de domicile du demandeur. Il convient, dans la détermination du tort moral, d’apprécier les liens sociaux que continue le cas échéant d’entretenir le demandeur avec la Suisse, comme la vraisemblance d’entreprendre une formation ou de briguer un permis de travail sur le territoire helvétique (ATF 125 II 554 consid. 4a et 4b; arrêt GE.2016.0012 précité, consid. 5c). La relation particulière avec la Suisse peut aussi résider dans le fait que le demandeur rend régulièrement visite et soutient financièrement des parents ou amis proches vivant en Suisse (arrêt GE.2016.0012 précité, consid. 5c qui cite, pour l’ensemble de la question Gomm, op. cit., n. 22 ad art. 27 LAVI ). b) Eu égard à l'utilisation des critères de comparaison, les recourants se plaignent d'une violation de leur droit d'être entendu, reprochant à l'autorité intimée de s'être fondée sur des informations tirées d'Internet et qui ne sont pas des faits notoires, sans leur permettre de se déterminer préalablement sur leur contenu.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137 IV 33 consid. 9.2 p. 48 s.; 125 V 332 consid. 3a p. 335 et les références citées), celui d'avoir accès au dossier (ATF 126 I 7 consid. 2b p. 10), ainsi que celui de participer à l'administration des preuves, d'en prendre connaissance et de se déterminer à leur propos lorsque celles-ci sont de nature à influencer la décision à rendre (ATF 137 II 266 consid.</w:t>
      </w:r>
    </w:p>
    <w:p>
      <w:r>
        <w:rPr>
          <w:b/>
        </w:rPr>
        <w:t>E. 5</w:t>
      </w:r>
    </w:p>
    <w:p>
      <w:r>
        <w:t>Il résulte de ce qui précède que le recours formé par les recourants doit être rejeté.</w:t>
      </w:r>
    </w:p>
    <w:p>
      <w:r>
        <w:rPr>
          <w:b/>
        </w:rPr>
        <w:t>E. 6</w:t>
      </w:r>
    </w:p>
    <w:p>
      <w:r>
        <w:t>a) Il n'est pas perçu de frais (art. 30 al. 1 LAVI). Les recourants, qui succombent intégralement, n'ont pas droit à des dépens (art. 55 al. 1 LPA-VD). b) Compte tenu de leurs ressources, les recourants ont été mis au bénéfice de l'assistance judiciaire par décision du 14 juin 2023. L'avocat qui procède au bénéfice de l'assistance judiciaire dans le canton de Vaud peut prétendre au remboursement forfaitaire de ses débours ainsi qu'à un défraiement équitable (art. 2 al. 1 du règlement vaudois du 7 décembre 2010 sur l'assistance judiciaire en matière civile [RAJ; BLV 211.02.3], applicable par renvoi de l'art. 18 al. 5 LPA-VD). Le tarif horaire applicable s'élève à 180 fr. pour le travail d'un avocat et de 110 fr. pour le travail d'un avocat-stagiaire (art. 2 al. 1 let. a et b RAJ). Les débours sont fixés à 5% du défraiement hors taxe en première instance judiciaire (art. 3bis al. 1 RAJ). Dans sa liste des opérations du 22 décembre 2023, le conseil d’office des recourants a indiqué avoir consacré à l’affaire 10 heures et 10 minutes (soit 10.16h), ce qui paraît approprié aux nécessités du cas. Le montant des honoraires est donc arrêté à 1'830 fr. d'honoraires (10.16 x 180 fr.), 91 fr. 50 de débours (5% des honoraires). A ce montant, la TVA doit être ajoutée. Le taux de la TVA a été modifié au 1 er janvier 2024, passant de 7,7 % à 8,1 %. Toutefois, pour déterminer la manière dont les prestations fournies doivent être déclarées dans les décomptes, c’est le moment ou la période de la fourniture de la prestation qui est déterminant. En l'espèce, toutes les prestations ont été effectuée en 2023 et c'est bien le taux de 7,7 % qui est entièrement applicable. Ainsi, c'est un montant de 147 fr. 96 de TVA ([1'830 + 91.50] x 7,7%) qui doit être ajouté. Le montant de l'indemnité d'office allouée s’élève ainsi à 2'069 fr. 46. L'indemnité de conseil d'office est supportée par le canton, la victime et ses proches n'étant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