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GE.2023.0099 vom 24. Oktober 2023</w:t>
      </w:r>
    </w:p>
    <w:p>
      <w:r>
        <w:t>VD Tribunal cantonal, 2023-10-24, FR</w:t>
      </w:r>
    </w:p>
    <w:p>
      <w:r>
        <w:rPr>
          <w:b/>
        </w:rPr>
        <w:t xml:space="preserve">Quelle: </w:t>
      </w:r>
      <w:r>
        <w:t>https://mcp.opencaselaw.ch/entscheid/vd_omni_GE.2023.0099</w:t>
      </w:r>
    </w:p>
    <w:p>
      <w:r>
        <w:t>FR: VD_OMNI GE.2023.0099 du 24 octobre 2023</w:t>
      </w:r>
    </w:p>
    <w:p>
      <w:r>
        <w:t>IT: VD_OMNI GE.2023.0099 del 24 ottobre 2023</w:t>
      </w:r>
    </w:p>
    <w:p>
      <w:pPr>
        <w:pStyle w:val="Heading2"/>
      </w:pPr>
      <w:r>
        <w:t>Regeste</w:t>
      </w:r>
    </w:p>
    <w:p>
      <w:r>
        <w:t>A.________ à K.________/Direction générale de la mobilité et des routes DGMR, Municipalité de Veytaux | Recours contre une mesure de signalisation routière conssistant dans la création de places de parc "dépose" par plusieurs habitants de la commune, membres du conseil communal. Recevabilité du recours laissée ouverte. Les recourants estiment que les places de parc projetées sont créées sur une route dangereuse à raison de sa pente et de l'étroitesse de la route. Ils n'indiquent cependant pas quelles seraient les dispositions légales qui seraient violées par la décision attaquée. Certes, la Cour a pu, par l'inspection locale, se rendre compte d'une visibilité en partie diminuée à raison du virage existant quelques mètres en amont. Toutefois, il faut considérer à la suite de l'autorité intimée qu'aucune disposition légale n'empêche la création des places de parc projetées, a fortiori dans une zone dans laquelle la vitesse du trafic est réduite à 30 km/h comme c'est le cas dans la zone litigieuse. Rejet du recours pour autant que recevable.</w:t>
      </w:r>
    </w:p>
    <w:p>
      <w:pPr>
        <w:pStyle w:val="Heading2"/>
      </w:pPr>
      <w:r>
        <w:t>Erwägungen</w:t>
      </w:r>
    </w:p>
    <w:p>
      <w:r>
        <w:rPr>
          <w:b/>
        </w:rPr>
        <w:t>E. 1</w:t>
      </w:r>
    </w:p>
    <w:p>
      <w:r>
        <w:t>La Cour de droit administratif et public examine d'office et librement la recevabilité des recours qui lui sont soumis. a) 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b)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d) En l'espèce, les recourants n'indiquent pas en quoi ils sont particulièrement touchés par la mesure prévue ni en quoi ils disposent d'un intérêt digne de protection. Les recourants qui sont des conseillères et conseillers communaux de la commune de Veytaux estiment comme, on le verra, pour l'essentiel que la mesure litigieuse est dangereuse au regard de la configuration des lieux. Ils voudraient que les places envisagées à la rue du They soient créées ailleurs, par exemple dans le parking public sis quelques mètres en contrebas. Dans ces conditions, il est fortement douteux que le recours puisse être recevable, faute de qualité pour recourir, les recourants n'ayant pas démontré qu'ils étaient atteints d'une manière particulière par la mesure envisagée. Quoi qu'il en soit, cette question peut souffrir de rester ouverte, dans la mesure où, incontestablement, s'il était recevable, le recours devrait être rejeté pour les raisons qui suivent.</w:t>
      </w:r>
    </w:p>
    <w:p>
      <w:r>
        <w:rPr>
          <w:b/>
        </w:rPr>
        <w:t>E. 2</w:t>
      </w:r>
    </w:p>
    <w:p>
      <w:r>
        <w:t>Elles fixent les tracés des routes en fonction des impératifs de sécurité et de fluidité du trafic ainsi que des objectifs de l'aménagement du territoire et de la protection de l'environnement.</w:t>
      </w:r>
    </w:p>
    <w:p>
      <w:r>
        <w:rPr>
          <w:b/>
        </w:rPr>
        <w:t>E. 3</w:t>
      </w:r>
    </w:p>
    <w:p>
      <w:r>
        <w:t>Pour les plans communaux, l'autorité d'adoption est le conseil général ou communal. Les articles 34 et 38 à 45 LATC [loi vaudoise du 4 décembre 1985 sur l'aménagement du territoire et les constructions, BLV 700.11] sont applicables par analogie. […] Art. 17    Changement d'affectation 1 La procédure, en matière de désaffectation d'une route, est régie par les articles 10 à 13, appliqués par analogie. […]" e) En l'espèce, rien n'indique au dossier, et les recourants ne le font d'ailleurs à juste titre pas valoir, que les règles précitées n'aient pas été suivies. La décision attaquée du 4 mai 2023, publiée dans la FAO du 16 mai 2023, a fait l'objet d'une demande de la municipalité de Veytaux du 24 avril 2023. La mesure requise entre dans le cadre de l'art. 3 al.</w:t>
      </w:r>
    </w:p>
    <w:p>
      <w:r>
        <w:rPr>
          <w:b/>
        </w:rPr>
        <w:t>E. 4</w:t>
      </w:r>
    </w:p>
    <w:p>
      <w:r>
        <w:t>Au regard de ces éléments, dans le cadre de la pesée des intérêts à laquelle il faut procéder conformément à l'art. 107 al. 5 OSR, il convient d'admettre avec l'autorité intimée que les intérêts publics poursuivis par les mesures litigieuses l'emportent sur les autres intérêts en jeu. Mal fondé, le grief de violation du principe de proportionnalité doit ainsi être écarté.</w:t>
      </w:r>
    </w:p>
    <w:p>
      <w:r>
        <w:rPr>
          <w:b/>
        </w:rPr>
        <w:t>E. 5</w:t>
      </w:r>
    </w:p>
    <w:p>
      <w:r>
        <w:t>Les considérants qui précèdent conduisent au rejet du recours, pour autant qu'il soit recevable, et à la confirmation de la décision attaquée. Les recourants, qui succombent, supporteront les frais de justice (cf. art. 49 al. 1 LPA-VD). Il n'y a pas lieu d'allouer de dépens à l'autorité intimée qui a procédé seule sans l'assistance d'un mandataire professionnel. En revanche, les recourants supporteront également une indemnité de dépens en faveur de la commune, représentée par un mandataire professionnel (art. 55 LPA-VD; art.</w:t>
      </w:r>
    </w:p>
    <w:p>
      <w:r>
        <w:rPr>
          <w:b/>
        </w:rPr>
        <w:t>E. 10</w:t>
      </w:r>
    </w:p>
    <w:p>
      <w:r>
        <w:t>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