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GE.2023.0065 vom 21. Juni 2023</w:t>
      </w:r>
    </w:p>
    <w:p>
      <w:r>
        <w:t>VD Tribunal cantonal, 2023-06-21, FR</w:t>
      </w:r>
    </w:p>
    <w:p>
      <w:r>
        <w:rPr>
          <w:b/>
        </w:rPr>
        <w:t xml:space="preserve">Quelle: </w:t>
      </w:r>
      <w:r>
        <w:t>https://mcp.opencaselaw.ch/entscheid/vd_omni_GE.2023.0065</w:t>
      </w:r>
    </w:p>
    <w:p>
      <w:r>
        <w:t>FR: VD_OMNI GE.2023.0065 du 21 juin 2023</w:t>
      </w:r>
    </w:p>
    <w:p>
      <w:r>
        <w:t>IT: VD_OMNI GE.2023.0065 del 21 giugno 2023</w:t>
      </w:r>
    </w:p>
    <w:p>
      <w:pPr>
        <w:pStyle w:val="Heading2"/>
      </w:pPr>
      <w:r>
        <w:t>Regeste</w:t>
      </w:r>
    </w:p>
    <w:p>
      <w:r>
        <w:t>A.________ et B.________ /Département de l'enseignement et de la formation professionnelle (DEF) | Recours des parents d'une élève de treize ans, s'apprêtant à entrer en 10e année, contre le rejet par le Département de leur demande de dérogation au principe de la scolarisation au nouveau lieu de domicile (Grandson), afin qu'elle demeure scolarisée dans l'école de l'ancien domicile (Yverdon-les-Bains). Les recourants invoquent l'état de santé de l'enfant, souffrant de dyslexie, sa sensibilité et sa bonne adaptation à l'école de son ancien domicile, après qu'elle a subi du harcèlement dans une école précédente. Compte tenu de son très large pouvoir d'appréciation, le Département pouvait refuser la dérogation voulue en retenant que l'enfant pourra bénéficier, au besoin, d'un soutien adéquat dans le nouvel établissement et qu'elle aura l'occasion de rencontrer de nouveaux camarades, sans qu'il faille considérer par principe que d'autres élèves pourraient être potentiellement de futurs harceleurs - ou adopter un comportement de rejet.</w:t>
      </w:r>
    </w:p>
    <w:p>
      <w:pPr>
        <w:pStyle w:val="Heading2"/>
      </w:pPr>
      <w:r>
        <w:t>Erwägungen</w:t>
      </w:r>
    </w:p>
    <w:p>
      <w:r>
        <w:rPr>
          <w:b/>
        </w:rPr>
        <w:t>E. 1</w:t>
      </w:r>
    </w:p>
    <w:p>
      <w:r>
        <w:t>La décision attaquée, qui refuse l'enclassement d'une élève dans un établissement situé sur le territoire d'une autre commune que son lieu de domicile, est fondée sur la loi du 7 juin 2011 sur l’enseignement obligatoire (LEO; BLV 400.02; cf. art. 63 al. 1 LEO; infra consid. 2a). Elle peut faire l’objet d’un recours devant la CDAP en application des art. 141 et suivants LEO et des art. 92 et suivants de la loi du 28 octobre 2008 sur la procédure administrative (LPA-VD; BLV 173.36). Déposé dans le délai de trente jours fixé par l’art. 95 LPA-VD, le recours est intervenu en temps utile. Il respecte au surplus les conditions formelles énoncées à l’art. 79 LPA-VD (par renvoi de l'art. 99 LPA-VD). Il y a donc lieu d'entrer en matière sur le fond.</w:t>
      </w:r>
    </w:p>
    <w:p>
      <w:r>
        <w:rPr>
          <w:b/>
        </w:rPr>
        <w:t>E. 2</w:t>
      </w:r>
    </w:p>
    <w:p>
      <w:r>
        <w:t>Les recourants requièrent implicitement de pouvoir plaider leur cause de vive voix. a) Le droit d'être entendu, tel qu'il est garanti par les art. 29 al. 2 de la Constitution fédérale de la Confédération suisse du 18 avril 1999 (Cst.; RS 101) et art. 27 al. 2 de la Constitution du Canton de Vaud du 14 avril 2003 (Cst-VD; BLV 101.01), comprend notamment le droit pour l'administré de produire des preuves pertinentes, d'obtenir qu'il soit donné suite à ses offres de preuves pertinentes et de participer à l'administration des preuves essentielles, ou à tout le moins de s'exprimer sur son résultat, lorsque cela est de nature à influer sur la décision à rendre (ATF 145 I 167 consid. 4.1; 140 I 285 consid. 6.3.1). Aux termes de l'art. 34 LPA-VD, les parties participent à l'administration des preuves (al. 1) et peuvent notamment présenter des offres de preuves (al. 2 let. d). L'autorité n'est toutefois pas liée par celles-ci (art. 28 al. 2 et 34 al. 3 LPA-VD). Le droit d'être entendu ne comprend toutefois pas le droit d’être entendu oralement (ATF 140 I 68 consid. 9.6.1; 130 II 425 consid. 2.1; CDAP GE.2022.0159 du 9 février 2023 consid. 2). De jurisprudence constante, le droit d'être entendu n'empêche pas l'autorité de mettre un terme à l'instruction lorsque les preuves administrées lui ont permis de forger sa conviction et que, procédant d'une manière non arbitraire à une appréciation anticipée des preuves qui lui sont encore proposées, elle a la certitude qu'elles ne pourraient l'amener à modifier son opinion (ATF 145 I 167 consid. 4.1; 140 I 285 consid. 6.3.1). b) En l'espèce, comme on le verra plus en détail dans les considérants qui suivent, le tribunal s'estime suffisamment renseigné pour statuer en toute connaissance de cause sur les griefs soulevés, sans qu'il n'en résulte de violation du droit d'être entendus des recourants. On ne discerne pas quels éléments supplémentaires pertinents, qui ne ressortiraient pas déjà des écritures des recourants, leur audition pourrait apporter. Il n'y a donc pas lieu d'ordonner la mesure requise.</w:t>
      </w:r>
    </w:p>
    <w:p>
      <w:r>
        <w:rPr>
          <w:b/>
        </w:rPr>
        <w:t>E. 3</w:t>
      </w:r>
    </w:p>
    <w:p>
      <w:r>
        <w:t>Pour les élèves qui fréquentent les classes de raccordement ou de rattrapage, une école spécialisée, des structures socio-éducatives, ou un projet Sport-Art-Etudes, le règlement peut prévoir des exceptions au lieu de scolarisation [...].</w:t>
      </w:r>
    </w:p>
    <w:p>
      <w:r>
        <w:rPr>
          <w:b/>
        </w:rPr>
        <w:t>E. 4</w:t>
      </w:r>
    </w:p>
    <w:p>
      <w:r>
        <w:t>Contrairement à ce que soutiennent implicitement les recourants, il n'y a pas lieu en l'espèce de retenir une violation du principe de la bonne foi au sens des art. 5 al. 3 et 9 Cst. Ceux-ci ne démontrent en effet pas qu'au moment du choix de l'établissement d'********, l'autorité compétente, à savoir le DEF, leur aurait assuré que leur fille pourrait continuer d'y être scolarisée jusqu'au terme de son école obligatoire (cf. ATF 141 V 530 consid. 6.2; BO.2022.0008 du 16 mars 2022 consid. 3; GE.2021.0125 du 15 décembre 2022 consid. 6a).</w:t>
      </w:r>
    </w:p>
    <w:p>
      <w:r>
        <w:rPr>
          <w:b/>
        </w:rPr>
        <w:t>E. 5</w:t>
      </w:r>
    </w:p>
    <w:p>
      <w:r>
        <w:t>Il résulte des considérants qui précèdent que le recours doit être rejeté et la décision attaquée être confirmée. Succombant, les recourants supporteront les frais de justice et n'ont pas droit à des dépens (art. 49, 55, 91 et 99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