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GE.2022.0248 vom 17. März 2023</w:t>
      </w:r>
    </w:p>
    <w:p>
      <w:r>
        <w:t>VD Tribunal cantonal, 2023-03-17, FR</w:t>
      </w:r>
    </w:p>
    <w:p>
      <w:r>
        <w:rPr>
          <w:b/>
        </w:rPr>
        <w:t xml:space="preserve">Quelle: </w:t>
      </w:r>
      <w:r>
        <w:t>https://mcp.opencaselaw.ch/entscheid/vd_omni_GE.2022.0248</w:t>
      </w:r>
    </w:p>
    <w:p>
      <w:r>
        <w:t>FR: VD_OMNI GE.2022.0248 du 17 mars 2023</w:t>
      </w:r>
    </w:p>
    <w:p>
      <w:r>
        <w:t>IT: VD_OMNI GE.2022.0248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La société présente des pertes, à tout le moins depuis 2018, soit des pertes sans lien avec la pandémie. Or les aides pour cas de rigueur n'ont pas pour vocation d'éviter la faillite de sociétés déjà en difficultés avant la pandémie.</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révisés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dans un contexte de sociétés de groupe, en relation avec des éléments ressortant des comptes de la recourante, en particulier au sujet d’opérations relatives à l’acquittement d’une dette fiscale, à des corrections relatives à des cotisations AVS, à des transactions financières entre sociétés apparentées,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Au sujet de ce dernier point, le tribunal relève tout d’abord que la recourante se contente d’expliquer que cela fait des mois qu’elle attend que les aides demandées lui soient versées et qu’elle ne devrait sa survie qu’à des emprunts qu’elle a contractés. Or, ces explications sont trop vagues pour permettre au tribunal d’entrer en matière sur le recours. Elles ne satisfont pas aux exigences de motivation et de preuve qui incombent à la société pour établir les raisons pour lesquelles une suspension de la procédure de réclamation lui causerait ou menacerait de lui causer un dommage. La recourante se plaint d’avoir été fermée en 2021 pendant des mois et n’avoir toujours pas reçu les indemnités auxquelles elle pourrait prétendre plus de dix-huit mois après les décisions de fermeture, ce qui est en grande partie faux puisqu’un montant – important - de 218'469 fr. lui a été alloué pour la période du 1 er janvier 2020 au 30 juin 2021 à titre d’aide aux cas de rigueur, seule une aide éventuelle complémentaire pour le 2 ème semestre 2021 demeurant litigieuse. Par ailleurs, comme l’a fait remarquer l’autorité intimée, la société présente des pertes, à tout le moins depuis 2018, soit des pertes sans lien avec la pandémie du COVID-19 et les mesures sanitaires. Or, les aides pour cas de rigueur n’ont pas pour vocation d’éviter la faillite de sociétés déjà en difficultés avant la pandémie. Quoi qu’il en soit, si l’établissement a été fermé au début de l’année 2020, ce n’était pas en raison de la pandémie de COVID-19  mais  en raison de travaux de rénovation dont les actionnaires ont des raisons de penser qu’ils favoriseront une reprise d’activité. En conclusion, la recourante n’établit nullement qu’elle serait exposée à un risque de préjudice irréparable en lien avec la suspension de la procédure de réclamation du 26 juillet 2022 jusqu’à droit connu sur l’audit conduit par le CCF.</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