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GE.2022.0231 vom 14. April 2023</w:t>
      </w:r>
    </w:p>
    <w:p>
      <w:r>
        <w:t>VD Tribunal cantonal, 2023-04-14, FR</w:t>
      </w:r>
    </w:p>
    <w:p>
      <w:r>
        <w:rPr>
          <w:b/>
        </w:rPr>
        <w:t xml:space="preserve">Quelle: </w:t>
      </w:r>
      <w:r>
        <w:t>https://mcp.opencaselaw.ch/entscheid/vd_omni_GE.2022.0231</w:t>
      </w:r>
    </w:p>
    <w:p>
      <w:r>
        <w:t>FR: VD_OMNI GE.2022.0231 du 14 avril 2023</w:t>
      </w:r>
    </w:p>
    <w:p>
      <w:r>
        <w:t>IT: VD_OMNI GE.2022.0231 del 14 aprile 2023</w:t>
      </w:r>
    </w:p>
    <w:p>
      <w:pPr>
        <w:pStyle w:val="Heading2"/>
      </w:pPr>
      <w:r>
        <w:t>Regeste</w:t>
      </w:r>
    </w:p>
    <w:p>
      <w:r>
        <w:t>A.________/Service de la promotion de l'économie et de l'innovation | Confirmation de la décision sur réclamation du Service de la promotion de l'économie et de l'innovation (SPEI), qui a refusé d'allouer à la recourante, qui édite un guide qui propose des rabais dans différents restaurants sur présentation du guide, au motif qu'elle n'a pas démontré une perte de plus de 40% de son chiffre d'affaires. N'ayant pas été contrainte à la fermeture, la recourante ne peut pas revendiquer l'application par analogie les dispositions applicables aux entreprises fermées par les autorités pendant au moins 40 jours. Le SPEI s'est à juste titre appuyé sur la comptabilité de la recourante, qui a été établie en conformié avec les disposition du droit commercial, pour déterminer le taux de perte de son chiffre d'affaires. Recours rejeté.</w:t>
      </w:r>
    </w:p>
    <w:p>
      <w:pPr>
        <w:pStyle w:val="Heading2"/>
      </w:pPr>
      <w:r>
        <w:t>Erwägungen</w:t>
      </w:r>
    </w:p>
    <w:p>
      <w:r>
        <w:rPr>
          <w:b/>
        </w:rPr>
        <w:t>E. 1</w:t>
      </w:r>
    </w:p>
    <w:p>
      <w:r>
        <w:t>La décision attaquée, rendue sur réclamation et qui n’est pas susceptible de recours devant une autre autorité, peut faire l’objet d’un recours de droit administratif au sens des art. 92 ss de la loi du 28 octobre 2008 sur la procédure administrative (LPA‑VD; BLV 173.36). Le présent recours, déposé dans le délai légal (art. 95 LPA-VD) et formé par la requérante de la subvention disposant d’un intérêt digne de protection à la réforme de la décision attaquée (cf. art. 75 let. a LPA-VD), est recevable. Il y a donc lieu d'entrer en matière.</w:t>
      </w:r>
    </w:p>
    <w:p>
      <w:r>
        <w:rPr>
          <w:b/>
        </w:rPr>
        <w:t>E. 2</w:t>
      </w:r>
    </w:p>
    <w:p>
      <w:r>
        <w:t>La recourante conteste le refus de l'autorité intimée de lui octroyer une aide pour cas de rigueur. a) Avant d'examiner les griefs de la recourante, il convient de rappeler au préalable le cadre légal applicable. aa) En lien avec l'épidémie de COVID-19, la Confédération a adopté des bases légales prévoyant la possibilité de soutenir des mesures cantonales de soutien financier aux entreprises particulièrement touchées par les conséquences de l'épidémie en raison de la nature même de leur activité économique, notamment celles actives dans le secteur de la restauration (" cas de rigueur "; cf. art. 12 de la loi fédérale du 25 septembre 2020 sur les bases légales des ordonnances du Conseil fédéral visant à surmonter l'épidémie de COVID-19 [Loi COVID-19; RS 818.102], ainsi que l'ordonnance fédérale du 25 novembre 2020 concernant les mesures pour les cas de rigueur destinées aux entreprises en lien avec l'épidémie de COVID-19 [OMCR 20; RS 951.262]). Cette aide pour les cas de rigueur visait à atténuer les effets économiques de la crise. Elle était destinée à toutes les entreprises particulièrement touchées par les conséquences de l'épidémie de COVID-19 : l'éligibilité à l'aide dépendait de la seule situation financière de l'entreprise et non de son secteur d'activité (Exposés des motifs et projets de Décrets notamment sur les mesures économiques destinées à lutter contre les effets du coronavirus (COVID-19) par un soutien aux entreprises, dans des cas de rigueur, décembre 2020, p. 15). Aux termes de l'art. 12 de la loi fédérale du 25 septembre 2020 sur les bases légales des ordonnances du Conseil fédéral visant à surmonter l'épidémie de COVID-19 (loi COVID-19; RS 818.102), dans sa formulation en vigueur du 19 décembre 2020 au 31 décembre 2021 (période de la demande et de la première décision): "[…] 1bis Il y a cas de rigueur au sens de l’al. 1 si le chiffre d’affaires annuel de l’entreprise est inférieur à 60 % de la moyenne pluriannuelle. La situation patrimoniale et la dotation en capital globales doivent être prises en considération, ainsi que la part des coûts fixes non couverts. […]</w:t>
      </w:r>
    </w:p>
    <w:p>
      <w:r>
        <w:rPr>
          <w:b/>
        </w:rPr>
        <w:t>E. 5</w:t>
      </w:r>
    </w:p>
    <w:p>
      <w:r>
        <w:t>Le Conseil fédéral peut assouplir les conditions d’éligibilité fixées dans le présent article pour les entreprises qui, en raison des mesures fédérales ou cantonales de lutte contre l’épidémie de COVID-19, doivent fermer ou restreindre considérablement leur activité pendant plusieurs semaines à partir du 1 er novembre 2020. […]" L'art. 5 de l'ordonnance fédérale du 25 novembre 2020 concernant les mesures pour les cas de rigueur destinées aux entreprises en lien avec l’épidémie de COVID-19 (OMCR 2020; RS 951.262), dans sa version en vigueur à partir du 19 juin 2021, met ainsi en œuvre l'art. 12 de la loi COVID-19: " Art. 5 Recul du chiffre d'affaires 1 L’entreprise a prouvé au canton que son chiffre d’affaires 2020 est inférieur à 60 % du chiffre d’affaires moyen des exercices 2018 et 2019 en raison des mesures ordonnées par les autorités aux fins de la lutte contre l’épidémie de COVID-19 . 1bis En cas de recul du chiffre d’affaires enregistré entre janvier 2021 et juin 2021 en raison des mesures ordonnées par les autorités aux fins de la lutte contre l’épidémie de COVID-19, l’entreprise peut calculer le recul de son chiffre d’affaires sur la base du chiffre d’affaires d’une période ultérieure de 12 mois au lieu du chiffre d’affaires de l’exercice 2020." On extrait par ailleurs ce qui suit du commentaire de l'art. 5 OMCR 2020: "Étant donné que les mesures décidées par les autorités se poursuivent en 2021, il est possible qu’une entreprise qui a profité d’une saison d’hiver 2019-2020 normale et/ou d’une bonne saison estivale 2020 ne soit pas considérée comme un cas de rigueur au regard du chiffre d’affaires réalisé en 2020, bien qu’elle subisse, en raison des fermetures et des restrictions décrétées à partir du 4e trimestre 2020, des pertes en 2021 justifiant la qualification de cas de rigueur. L’al. 1bis tient compte de cette situation en permettant à l’entreprise de calculer le recul de son chiffre d’affaires en se fondant non pas sur le chiffre d’affaires de l’année 2020, mais sur une période de douze mois postérieure, par exemple sur le chiffre d’affaires réalisé entre février 2020 et janvier 2021 ou entre avril 2020 et mars 2021. Pour justifier sa demande, une entreprise peut ainsi étendre le calcul de son chiffre d’affaires annuel moyen jusqu’au mois de juin 2021." Le droit fédéral ne faisait que définir les conditions auxquelles la Confédération participe aux mesures cantonales pour les cas de rigueur. Les cantons étaient restés libres de déterminer s'il fallait prendre des mesures pour les cas de rigueur et cas échéant sous quelle forme (cf. rapport explicatif de l'ordonnance du Conseil fédéral, p. 2, disponible sur le site internet de la Confédération suisse à l'adresse https://www.seco.admin.ch/seco/fr/home.html &gt; Travail &gt; Pandémie de COVID-19 &gt; Mesures pour les cas de rigueur &gt; 25.11.2020 Coronavirus: Le Conseil fédéral adopte l'ordonnance sur les cas de rigueur COVID-19). bb) Dans le canton de Vaud, l'aide pour cas de rigueur était régie par le décret du Grand Conseil du 15 décembre 2020 sur les mesures économiques destinées à lutter contre les effets du coronavirus (COVID-19) par un soutien aux entreprises, dans des cas de rigueur (ci-après: Décret CR; BLV 900.05.151220.5). Ce décret a repris la teneur de l'arrêté du Conseil d'Etat du 2 décembre 2020 sur les mesures économiques destinées à lutter contre les effets du coronavirus (COVID-19) par un soutien aux entreprises dans des cas de rigueur (ci-après: l'Arrêté CR; BLV 900.05.021220.5). L'art. 21 Décret CR dispose que le Conseil d'Etat est chargé de l'exécution du décret, qu'il en publiera le texte et le mettra en vigueur, par voie d'arrêté. L'art. 19 Décret CR confère au Conseil d'Etat la compétence d'adapter le dispositif afin de tenir compte d'une éventuelle modification du droit fédéral et pour augmenter l'enveloppe financière dédiée aux cas de rigueur (al. 1); il lui permet également d'adapter si nécessaire le dispositif d'aide afin notamment de réduire les effets de seuil découlant du droit fédéral (al. 2). Par la suite, le Conseil d'Etat a modifié à plusieurs reprises l'Arrêté CR. Les différentes modifications intervenues n'ont pas eu pour effet de modifier le droit applicable à la résolution du présent litige, de sorte qu'on se limitera à reproduire ci-après les textes légaux en vigueur au moment du dépôt de la demande d'aide de la recourante. L’Arrêté CR dispose ce qui suit à son art. 1 er , intitulé " Buts ": " 1 Le présent arrêté régit les conditions dans lesquelles l'Etat peut octroyer un soutien financier aux entreprises, dans des cas de rigueur, en raison de la crise du coronavirus. 2 Ces aides peuvent prendre la forme de contributions non remboursables (ci-après: «aides à fonds perdu») et de cautionnements de crédits bancaires. 3 Il n'existe aucun droit à l'obtention du soutien financier prévu par le présent arrêté." L'art. 4 de l’ Arrêté CR définit de la façon suivante le cas de rigueur, dans son état en vigueur dès le</w:t>
      </w:r>
    </w:p>
    <w:p>
      <w:r>
        <w:rPr>
          <w:b/>
        </w:rPr>
        <w:t>E. 7</w:t>
      </w:r>
    </w:p>
    <w:p>
      <w:r>
        <w:t>juillet 2021: " 1 Se trouve dans un cas de rigueur l'entreprise dont la marche des affaires a été atteinte par les mesures de lutte contre l'épidémie de COVID-19 dans les proportions indiquées à l'alinéa 2. 2 Un cas de rigueur existe si, en raison des mesures ordonnées par les autorités aux fins de la lutte contre la pandémie COVID-19, la perte de chiffre d'affaires de l'entreprise durant l'année 2020 représente plus de 40% du chiffre d'affaires de référence au sens de l'article 5, alinéa 1, lettre b du présent arrêté. 2bis En cas de recul du chiffre d'affaires enregistré entre les mois de janvier 2021 et de juin 2021 en raison des mesures ordonnées par les autorités aux fins de la lutte contre l'épidémie de COVID-19 , l'entreprise peut calculer le recul de son chiffre d'affaires sur la base du chiffre d'affaires des 12 derniers mois au lieu du chiffre d'affaires de l'exercice 2020 . 2ter Lorsque la perte de chiffre d'affaires reconnue selon l'alinéa 2bis du présent article se poursuit durant les deux premiers trimestres 2021, celle-ci se calcule en comparant le chiffre d'affaires réalisé durant le trimestre 2021 concerné au quart du chiffre d'affaires annuel moyen de référence au sens de l'article 5 alinéa 1 lettre b ou alinéa 3. La présente disposition s'applique par analogie à l'article 4a. 2quater Les entreprises ayant un chiffre d'affaires inférieur ou égal à 5 millions de francs, relevant exclusivement des secteurs de l'hôtellerie et de l'événementiel, et dont la perte de chiffre d'affaires est supérieure à 40% durant les troisième et quatrième trimestres 2021 peuvent se voir allouer une aide supplémentaire au titre des cas de rigueur. Celle-ci se calcule en comparant le chiffre d'affaires réalisé durant le trimestre 2021 concerné au quart du chiffre d'affaires annuel moyen de référence au sens de l'article 5, alinéa 1, lettre b ou alinéa 3. 2quinquies A titre exceptionnel et conformément à l'alinéa 2quater, le Conseil d'Etat peut décider d'allouer un tel complément d'aide à une entreprise relevant d'un autre secteur d'activité. 3 Le chiffre d'affaires déterminant pour la perte de chiffre d'affaires est calculé sur la base de la valeur des biens vendus et des services fournis durant l'année civile 2020, respectivement durant les 12 mois concernés en cas d'application de l'alinéa 2bis. Il se réfère au compte individuel de l'entreprise requérante." 3. a) A juste titre, la recourante ne revendique pas l'application de l'art. 4a de l'Arrêté CR, qui prévoit une dérogation en faveur des entreprises fermées par les autorités pendant au moins 40 jours. Le Tribunal cantonal a en effet déjà jugé que la distinction entre entreprises fermées par ordre des autorités et entreprises s'étant retrouvées dans une situation analogue à celle des entreprises fermées a déjà, sur la base d'un texte légal clair, été considérée comme conforme au but des mesures de soutien octroyées par l'Etat en lien avec la pandémie de COVID-19. Cette distinction est également conforme au principe d'égalité de traitement, qui permet de traiter de manière différente des situations distinctes (cf. arrêt GE.2022.0069 du 14 septembre 2022 consid. 5b). b) La recourante soutient qu'elle satisfait aux conditions d'octroi de l'aide pour cas de rigueur, alors que l'autorité intimée le conteste, au motif que la recourante n'a pas démontré avoir subi une perte de son chiffre d'affaires supérieure à 40%. aa) La recourante ne conteste pas que son chiffre d'affaires de référence s'élève à 307'789 fr. (moyenne du chiffre d'affaires réalisé sur les exercices comptables 2018 [338'642 fr., du 1 er novembre 2017 au 31 octobre 2018] et 2019 [276'935 fr., du 1 er novembre 2018 au 31 octobre 2019]). bb) Il convient ensuite d'établir quel a été le chiffre d'affaires 2020, respectivement 2021 de la recourante, pertinent pour déterminer le taux de perte en l'occurrence. La recourante ne soutient pas qu'elle a vu son chiffre d'affaires 2020 (soit l'exercice commercial du 1 er novembre 2019 au 31 octobre 2020) être touché par les mesures ordonnées par les autorités aux fins de la lutte contre l’épidémie de COVID-19, son résultat s'élevant alors à 278'421 francs. Elle soutient au contraire que son résultat a été particulièrement impacté par ces mesures durant les premiers trimestres de l'année 2021. On comprend ainsi qu'elle entend bénéficier du calcul du recul du chiffre d'affaires de l'art. 4 al. 2bis de l'arrêté COVID-19 cas de rigueur, qui permet à l'entreprise de calculer le recul de son chiffre d'affaires sur la base du chiffre d'affaires des 12 derniers mois au lieu du chiffre d'affaires de l'exercice 2020. La recourante a elle-même considéré qu'il convenait de s'appuyer, pour déterminer le taux de perte, sur le chiffre d'affaires qu'elle a réalisé entre le 1 er avril 2020 et le 31 mars 2021, ce que l'autorité intimée ne conteste pas. A l'appui de sa demande, la recourante a indiqué avoir réalisé un chiffre d'affaires de 139'210 fr. au cours de cette période. Or, cette valeur ne ressort aucunement de sa comptabilité. On ne peut ainsi faire grief à l'autorité intimée d'avoir cherché à reconstituer cette valeur sur la base des écritures du compte 6000 (vente du guide "********") de la recourante passées entre le 1 er avril et le 31 octobre 2020, pour un montant total de 58'300 fr., respectivement entre le 1 er novembre 2020 et le 31 mars 2021 (compte 3200 vente de marchandises), pour un montant total de 143'865 francs. La recourante, qui ne conteste pas avoir encaissé la somme de 143'865 fr. (dont 97'057,10 fr. en lien avec la vente par l'intermédiaire de QOQA et 31'892,10 fr. à D.________ et E.________) entre le 1 er novembre 2020 et le 31 mars 2021, soutient que ce chiffre d'affaires ne devrait pas être comptabilisé, dès lors qu'il se rapporte à des prestations qui n'ont pas pu être fournies pendant cette période. La recourante se réfère à cet égard aux normes de l'"International Financial Reporting Standard for Small and Medium-sized Entities" (IFRS for SMEs) de l'International Accounting Standards Board (ci-après: les normes IFRS), en particulier à la norme IFRS 15, dont il ressortirait que le chiffre d'affaires devrait être comptabilisé au moment de l'obligation de fournir la prestation promise, qui dépendait en l'occurrence de l'ouverture des restaurants. La recourante n'a toutefois pas tenu ses comptes selon les principes reconnus par les normes IFRS. Elle a en effet comptabilisé les rentrées financières liées à la vente du guide "********" au moment de la vente et non au moment de l'obtention, par le client, de la prestation de la part du restaurant. Or, il ressort clairement de l'art. 4 al. 3 de l’Arrêté CR que le chiffre d'affaires déterminant se réfère au compte individuel de l'entreprise requérante. A l'appui de la demande d'aide, il était en outre notamment demandé aux entreprises de produire leurs états financiers (bilan et comptes de pertes et profits des années 2018 et 2019), ainsi que les documents attestant du chiffre d'affaires pour l'année 2020 (décompte TVA) et le cas échéant des mois supplémentaires de 2021 (cf. art. 13 arrêté CR). Le Tribunal cantonal, ayant à établir le chiffre d'affaires de référence d'une entreprise, a ainsi exclu de se fonder sur un chiffre d'affaires hypothétique (arrêt GE.2022.0024 du 9 septembre 2022 consid. 5). La référence à la comptabilité commerciale et à ses éléments (pièces justificatives, livres, extraits de compte, bilans ou comptes de résultat) se justifie, dès lors que ceux-ci sont, en vertu de la loi, des titres, soit des écrits propres et destinés à prouver des faits ayant une portée juridique. Ils ont une valeur probante accrue ou, autrement dit, offrent une garantie spéciale de véracité ( ATF 141 IV 369 consid.</w:t>
      </w:r>
    </w:p>
    <w:p>
      <w:r>
        <w:rPr>
          <w:b/>
        </w:rPr>
        <w:t>E. 7.1</w:t>
      </w:r>
    </w:p>
    <w:p>
      <w:r>
        <w:t>p. 376; 138 IV 130 consid. 2.2.1 p. 135 s.; 132 IV 12 consid. 8.1 p. 15; 129 IV 130 consid. 2.2 et 2.3 p. 134 ss). La recourante semble également soutenir que sa comptabilité ne serait pas correcte. On distingue d'une manière générale la correction du bilan, qui tend à substituer une comptabilisation contraire au droit commercial, de la modification de bilan, qui consiste à remplacer une comptabilisation conforme au droit commercial par une autre également correcte (arrêt TF 2C_576/2020 du 17 août 2020 consid. 2.2.1 et les références citées). C'est essentiellement en matière fiscale que cette distinction a été développée, afin de déterminer si le contribuable est lié à la situation patrimoniale qui ressort des livres de comptes établis. Si la comptabilisation se fait de manière contraire au droit commercial, une correction de bilan, en faveur ou en défaveur du contribuable, est possible jusqu'à l'entrée en force de la déclaration d'impôt (arrêts TF 2C_857/2020 du 11 février 2021 consid. 4.1; 2C_490/2016 du 25 août 2017 consid. 5.1 et les références). Sur la base de ces principes, qui peuvent être transposés au présent cas, on peut admettre qu'une correction du bilan soit possible en présence d'une comptabilisation non conforme au droit commercial. On ne saurait en revanche reconnaître à la recourante la possibilité de substituer une comptabilisation conforme au droit commercial par une autre écriture, quand bien même elle serait également admissible, dans le seul but de lui permettre de remplir les conditions d'octroi de l'aide pour cas de rigueur, respectivement d'accroître l'aide à laquelle elle pourrait avoir droit. La recourante ne saurait en l'occurrence valablement soutenir qu'il convient de s'écarter de sa comptabilité et du chiffre d'affaires ressortant de son décompte TVA, dans la mesure où elle n'établit pour le surplus pas que le chiffre d'affaires litigieux, qui a trait au montant encaissé à la suite de la vente des guides "********", aurait été comptabilisé d'une manière contraire aux règles du droit commercial. L'autorité intimée a par conséquent considéré à juste titre que la recourante était liée par le chiffre d'affaires ressortant de ses pièces comptables. Sur la base de celles-ci, la recourante n'était pas éligible à l'aide pour cas de rigueur conformément à l'art. 4 Arrêté CR, dès lors qu'elle n'a en outre pas été contrainte à la fermeture. 4. Il s'ensuit que le recours doit être rejeté et la décision sur réclamation attaquée confirmée. Il sera statué sans frais (cf. art. 16 al. 3 Arrêté CR). Il n'y a pas lieu d'allouer des dépens, dès lors que la recourante succombe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