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GE.2022.0195 vom 14. März 2023</w:t>
      </w:r>
    </w:p>
    <w:p>
      <w:r>
        <w:t>VD Tribunal cantonal, 2023-03-14, FR</w:t>
      </w:r>
    </w:p>
    <w:p>
      <w:r>
        <w:rPr>
          <w:b/>
        </w:rPr>
        <w:t xml:space="preserve">Quelle: </w:t>
      </w:r>
      <w:r>
        <w:t>https://mcp.opencaselaw.ch/entscheid/vd_omni_GE.2022.0195</w:t>
      </w:r>
    </w:p>
    <w:p>
      <w:r>
        <w:t>FR: VD_OMNI GE.2022.0195 du 14 mars 2023</w:t>
      </w:r>
    </w:p>
    <w:p>
      <w:r>
        <w:t>IT: VD_OMNI GE.2022.0195 del 14 marzo 2023</w:t>
      </w:r>
    </w:p>
    <w:p>
      <w:pPr>
        <w:pStyle w:val="Heading2"/>
      </w:pPr>
      <w:r>
        <w:t>Regeste</w:t>
      </w:r>
    </w:p>
    <w:p>
      <w:r>
        <w:t>A.________/Service de la promotion de l'économie et de l'innovation | Aide financière pour les entreprises, destinée à lutter contre les effets de la Covid-19 dans les cas de rigueur. Recours d'une entreprise bénéficiaire contre le montant de l'aide à fonds perdu complémentaire allouée pour la période du 1er juillet au 31 décembre 2021. Déposée après l'échéance légale prévue à cet effet, la demande d'aide complémentaire formée par l'entreprise ne peut plus porter sur la période antérieure du 1er janvier au 30 juin 2021; l'application stricte des dispositions de l'arrêté Covid-19 cas de rigueur en la matière n'est pas constitutive de formalisme excessif en l'espèce (consid. 3). Pour le reste, le texte des dispositions applicables de l'arrêté Covid-19 cas de rigueur ne laisse aucune marge de liberté à l'autorité d'application pour s'écarter des prescriptions relatives à la manière de calculer le montant du soutien financier aux entreprises; en l'occurrence, le calcul du montant de l'aide allouée à la recourante est correct (consid. 4). Rejet du recours et confirmation de la décision attaquée.</w:t>
      </w:r>
    </w:p>
    <w:p>
      <w:pPr>
        <w:pStyle w:val="Heading2"/>
      </w:pPr>
      <w:r>
        <w:t>Erwägungen</w:t>
      </w:r>
    </w:p>
    <w:p>
      <w:r>
        <w:rPr>
          <w:b/>
        </w:rPr>
        <w:t>E. 1</w:t>
      </w:r>
    </w:p>
    <w:p>
      <w:r>
        <w:t>Sous le titre "Voies de droit", l'art. 16 al. 4 de l'arrêté COVID-19 cas de rigueur renvoie aux dispositions de la loi cantonale du 28 octobre 2008 sur la procédure administrative (LPA-VD; BLV 173.36). La décision sur réclamation attaquée, qui concerne une prestation d'aide financière et qui n'est pas susceptible de recours devant une autre autorité, peut faire l'objet d'un recours de droit administratif au sens des art. 92 ss LPA ‑ VD. Requérante de la prestation disposant d'un intérêt digne de protection à la réforme de la décision attaquée, la recourante a qualité pour recourir (art. 75 let. a LPA-VD, applicable par renvoi de l'art. 99 LPA-VD). Déposé dans le délai légal de l'art. 95 LPA-VD, l'acte de recours complété par la recourante satisfait pour le surplus aux exigences formelles prévues par la loi (art. 79 et 99 LPA-VD). Il y a donc lieu d'entrer en matière sur le fond.</w:t>
      </w:r>
    </w:p>
    <w:p>
      <w:r>
        <w:rPr>
          <w:b/>
        </w:rPr>
        <w:t>E. 2</w:t>
      </w:r>
    </w:p>
    <w:p>
      <w:r>
        <w:t>Le litige porte sur le montant de l'aide à fonds perdu allouée par l'autorité intimée à la recourante dans le cadre des mesures économiques destinées à lutter contre les effets du COVID-19 par un soutien aux cas de rigueur. a) Avant d'examiner les griefs de la recourante, il convient de rappeler au préalable le cadre légal applicable. aa) En lien avec l'épidémie de COVID-19, la Confédération a adopté des bases légales prévoyant la possibilité de soutenir des mesures cantonales de soutien financier aux entreprises particulièrement touchées par les conséquences de l'épidémie en raison de la nature même de leur activité économique, notamment celles actives dans le secteur de la restauration (" cas de rigueur "; cf. art. 12 de la loi fédérale du 25 septembre 2020 sur les bases légales des ordonnances du Conseil fédéral visant à surmonter l'épidémie de COVID-19 [Loi COVID-19; RS 818.102], ainsi que l'ordonnance fédérale du 25 novembre 2020 concernant les mesures pour les cas de rigueur destinées aux entreprises en lien avec l'épidémie de COVID-19 [OMCR 20; RS 951.262]). Cette aide pour les cas de rigueur visait à atténuer les effets économiques de la crise. Elle était destinée à toutes les entreprises particulièrement touchées par les conséquences de l'épidémie de COVID-19 : l'éligibilité à l'aide dépendait de la seule situation financière de l'entreprise et non de son secteur d'activité (Exposés des motifs et projets de Décrets notamment sur les mesures économiques destinées à lutter contre les effets du coronavirus (COVID-19) par un soutien aux entreprises, dans des cas de rigueur, décembre 2020, p. 15). Le droit fédéral ne faisait que définir les conditions auxquelles la Confédération participe aux mesures cantonales pour les cas de rigueur. Les cantons étaient restés libres de déterminer s'il fallait prendre des mesures pour les cas de rigueur et cas échéant sous quelle forme (cf. rapport explicatif de l'ordonnance du Conseil fédéral, p. 2, disponible sur le site internet de la Confédération suisse à l'adresse https://www.seco.admin.ch/seco/fr/home.html &gt; Travail &gt; Pandémie de COVID-19 &gt; Mesures pour les cas de rigueur &gt; 25.11.2020 Coronavirus: Le Conseil fédéral adopte l'ordonnance sur les cas de rigueur COVID-19). bb) Dans le canton de Vaud, l'aide pour cas de rigueur était régie par le décret du Grand Conseil du 15 décembre 2020 sur les mesures économiques destinées à lutter contre les effets du coronavirus (COVID-19) par un soutien aux entreprises, dans des cas de rigueur (ci-après: Décret COVID-19 cas de rigueur; BLV 900.05.151220.5). Ce décret a repris la teneur de l'arrêté du Conseil d'Etat du 2 décembre 2020 sur les mesures économiques destinées à lutter contre les effets du coronavirus (COVID-19) par un soutien aux entreprises dans des cas de rigueur (ci-après : l'arrêté COVID-19 cas de rigueur; BLV 900.05.021220.5). L'art. 21 Décret COVID-19 cas de rigueur dispose que le Conseil d'Etat est chargé de l'exécution du décret, qu'il en publiera le texte et le mettra en vigueur, par voie d'arrêté. L'art. 19 Décret COVID-19 cas de rigueur confère au Conseil d'Etat la compétence d'adapter le dispositif afin de tenir compte d'une éventuelle modification du droit fédéral et pour augmenter l'enveloppe financière dédiée aux cas de rigueur (al. 1); il lui permet également d'adapter si nécessaire le dispositif d'aide afin notamment de réduire les effets de seuil découlant du droit fédéral (al. 2). Par la suite, le Conseil d'Etat a modifié à plusieurs reprises l'arrêté COVID-19 cas de rigueur. b) aa) Lorsque le droit matériel change en cours d'instance, la question se pose de savoir quelles sont les règles de droit applicables. En premier lieu, il convient de tenir compte des éventuelles règles de droit intertemporel contenues dans l'acte normatif considéré; en l'absence de telles règles, il y a lieu de se référer aux principes généraux. Selon un principe général de droit intertemporel, les dispositions légales applicables à une contestation sont celles en vigueur au moment où se sont produits les faits juridiquement déterminants pour trancher celle-ci (ATF 146 V 364 consid. 7.1; 140 V 41 consid. 6.3.1; Moor/Flückiger/Martenet, Droit administratif, vol. I, 3 e éd., Berne 2012, pp. 184 ss). Ainsi, lorsqu'un fait donne naissance à une prétention à une indemnité au bénéfice de l'administré, on applique le droit en vigueur au moment où ce fait s'est produit (Moor/Flückiger/Martenet, op. cit., p. 185). Il en va de même dans le cas de comportements qui doivent faire l'objet d'une sanction, sauf si le nouveau droit est plus favorable pour l'administré (ibidem, pp. 185-186). En revanche, lorsqu'il est question de délivrer une autorisation et que le changement de droit intervient en cours de procédure administrative, c'est-à-dire après son ouverture d'office (ou sur requête), mais avant le prononcé d'une décision, il est admis que l'autorité de première instance doit fonder sa décision sur le nouveau droit (ibidem, p. 187; Dubey/Zufferey, Droit administratif général, Bâle 2014, p. 132). Moor, Flückiger et Martenet soulignent que, si on prenait comme date déterminante la date du dépôt des requêtes, il pourrait se trouver que des décisions prises le même jour appliquent deux droits différents suivant le jour où chacune des requêtes a été déposée, ce qui poserait des problèmes d'égalité de traitement. Lorsque le droit est modifié alors qu'une décision administrative fait l'objet d'un recours, la légalité de l'acte administratif doit en principe, en l'absence d'une disposition légale transitoire, être examinée selon le droit en vigueur au moment où il a été rendu. Un changement de loi intervenu au cours d'une procédure de recours devant un tribunal administratif n'a donc en général pas à être pris en considération, sous réserve des situations particulières liées notamment à l'intérêt public (ATF 144 II 326 consid. 2.1.1; Tribunal administratif fédéral [TAF], arrêt C-6783/2009 du 22 février 2011 consid. 5.2; Dubey/Zufferey, op. cit., p. 132). bb) En matière de subventions fédérales, les demandes d'aides ou d'indemnités sont appréciées en application du droit en vigueur au moment de la demande lorsque la prestation est allouée avant l'exécution de la tâche; par contre, l'autorité statue en application du droit en vigueur au début de l'exécution de la tâche, lorsque la prestation est allouée ultérieurement (art. 36 de la loi fédérale du 5 octobre 1990 sur les aides financières et les indemnités [Loi sur les subventions; RS 616.1]). Au plan cantonal, l'art. 36 al. 1 de la loi du 22 février 2005 sur les subventions (LSubv; BLV 610.15) prévoit que "[d] ès son entrée en vigueur, [cette] loi est applicable à toutes les demandes de subventions, y compris celles qui sont déjà en cours et n'ont pas encore fait l'objet d'une décision ou d'une convention ". Cela étant, le soutien aux entreprises dont il est ici question, qui consiste en une aide individuelle, n'est pas une subvention fédérale et n'est pas non plus directement visé par la LSubv (cf. art. 8 let. c LSubv, qui précise que ne sont pas considérées comme des subventions au sens de cette loi les contributions pécuniaires ou avantages économiques accordés à des bénéficiaires externes à l'Etat qui n'impliquent pas l'accomplissement d'une tâche d'intérêt public par ceux-ci). L'art. 17 al. 3 de l'arrêté COVID-19 cas de rigueur renvoie toutefois expressément aux dispositions de la LSubv, s'agissant du suivi, du contrôle et de la révocation des aides. Il convient ainsi de retenir que l'aide litigieuse s'apparente à une subvention. Il n'en demeure pas moins que l'art. 36 al. 1 LSubv ne renseigne pas sur la version de l'arrêté à appliquer. Dans sa teneur initiale, l'art. 20 al. 1 de l'arrêté COVID-19 cas de rigueur fixait l'entrée en vigueur de cet acte au 2 décembre 2020 et son échéance au 30 juin 2021. Cette échéance a été étendue au 31 décembre 2021 lors de la modification de l'arrêté le 19 mai 2021, puis au 31 décembre 2031 depuis la modification de l'arrêté en vigueur à partir du 3 décembre 2021 et dans ses versions ultérieures, y compris la version actuelle en vigueur depuis le 6 juillet 2022. L'art. 20 al. 2 de l'arrêté COVID-19 cas de rigueur précise pour sa part que les demandes d'aide pendantes au 30 juin 2021 (respectivement au 31 décembre 2021 depuis le 19 mai 2021 et au 31 décembre 2031 depuis le 3 décembre 2021) restent soumises aux dispositions de l'arrêté jusqu'à l'issue de la procédure. Le Tribunal de céans s'est demandé, sans trancher la question, si cette disposition transitoire devait laisser penser que c'était le droit en vigueur lors du dépôt de la demande qui s'appliquait (CDAP, arrêts GE.2021.0191 du 5 avril 2022 consid. 2, puis GE.2021.0096 du 17 août 2022 consid. 2; plus réticents, GE.2022.0024 du 9 septembre 2022 et GE.2022.0096 du 16 février 2023 consid. 3b). cc) En l'espèce, la réglementation applicable tant au moment du dépôt de la demande de complément d'aide par la recourante le 9 mars 2022, que de la décision de l'autorité intimée du 4 avril 2022 puis de sa décision sur réclamation du 7 juin 2022, corres-pond à la version de l'arrêté COVID-19 cas de rigueur entrée en vigueur au 1 er février 2022. Par la suite, cet acte a été modifié dans sa version actuelle le 6 juillet 2022, soit peu avant le dépôt du présent recours. Comme relevé plus haut, un changement de loi intervenu au cours d'une procédure de recours (en l'espèce, pendant le délai de recours) n'a en général pas à être pris en considération, sous réserve de situations particulières. Cette question n'a de toute manière que peu de portée pratique en l'occurrence, cette modification n'ayant pas amené de changement fondamental au contenu des dispositions pertinentes de l'arrêté applicables au présent cas, comme on le verra dans les considérants qui suivent.</w:t>
      </w:r>
    </w:p>
    <w:p>
      <w:r>
        <w:rPr>
          <w:b/>
        </w:rPr>
        <w:t>E. 3</w:t>
      </w:r>
    </w:p>
    <w:p>
      <w:r>
        <w:t>Les demandes d'aide complémentaire au sens de l'article 4d peuvent être déposées jusqu'au 31 mars 2022.</w:t>
      </w:r>
    </w:p>
    <w:p>
      <w:r>
        <w:rPr>
          <w:b/>
        </w:rPr>
        <w:t>E. 4</w:t>
      </w:r>
    </w:p>
    <w:p>
      <w:r>
        <w:t>La recourante remet par ailleurs en cause le calcul du montant de l'aide à fonds perdu qui lui est allouée pour la période de juillet à décembre 2021. A cet égard, si elle ne conteste plus le montant de 744'587 francs retenu par l'autorité intimée au titre de chiffre d'affaires de référence conformément à l'art. 5 al. 1 let. b de l'arrêté COVID-19 cas de rigueur, elle considère qu'il est nécessaire de " mettre en parallèle [ce chiffre] avec le chiffre d'affaires réalisé en 2021, soit la somme de 648'120 francs ", ce qui permettrait de constater une perte de 12.89%, laquelle aboutirait à une aide d'environ 23'970 francs en sa faveur. a) Les principes présidant au calcul du soutien financier pour les entreprises dont le chiffre d'affaires annuel de référence ne dépasse pas 5 millions de francs (comme c'est le cas pour la recourante) sont définis à l'art. 9 de l'arrêté COVID-19 cas de rigueur. Cette disposition prévoit notamment ce qui suit : " 3 Le calcul et la forme du soutien financier dépend du montant du chiffre d'affaires de référence au sens de l'article 5, des charges d'exploitation au sens de l'article 10, et des aides COVID-19 au sens de l'article 8, alinéa 2, lettre d. [...] 3bis Les entreprises réalisant un chiffre d'affaires de référence compris entre 50'000 francs au moins et 5 millions de francs au plus peuvent se voir allouer un soutien financier correspondant à la prise en charge partielle des charges d'exploitation de l'entreprise reconnues selon l'article 10, à hauteur d'un pourcentage équivalent à la perte de chiffre d'affaires selon l'article 4; le soutien prend la forme d'une aide à fonds perdu, subsidiairement d'un cautionnement." Aux termes de l'art. 4 al. 2ter de l'arrêté COVID-19 cas de rigueur, lorsque la perte de chiffre d'affaires se poursuit durant les deux derniers trimestres 2021, celle-ci se calcule en comparant le chiffre d'affaires réalisé durant le trimestre 2021 concerné au quart du chiffre d'affaires annuel moyen de référence au sens de l'art. 5 al. 1 let. b ou al. 3 de l'arrêté COVID-19 cas de rigueur; cette disposition s'applique par analogie à l'art. 4a de l'arrêté COVID-19 cas de rigueur. Selon l'art. 4a al. 1 de l'arrêté COVID-19 cas de rigueur, les entreprises qui, en raison des mesures prises par la Confédération ou les cantons pour endiguer l'épidémie de COVID-19, doivent cesser leur activité pour au moins 40 jours entre le 1 er novembre 2020 et le 30 juin 2021 ne sont pas tenues de démontrer une perte de chiffre d'affaires durant l'année 2020, ni durant les mois de janvier 2021 à décembre 2021; elles ne sont également pas tenues de remplir les conditions d'octroi fixées à l'art.</w:t>
      </w:r>
    </w:p>
    <w:p>
      <w:r>
        <w:rPr>
          <w:b/>
        </w:rPr>
        <w:t>E. 6</w:t>
      </w:r>
    </w:p>
    <w:p>
      <w:r>
        <w:t>al. 1 let. b de l'arrêté COVID-19 cas de rigueur. Le texte des dispositions citées ci-dessus correspond à la version de l'arrêté COVID-19 cas de rigueur en vigueur depuis le 1 er février 2022. Il n'a pas été modifié ultérieurement, à l'exception de l'art. 4 al. 2ter précité, qui a été précisé en ce sens que cette disposition concerne les entreprises dont le chiffre d'affaires annuel de référence est inférieur ou égal à 5 millions de francs. Cet ajout n'a pas d'influence dans le cas présent. b) En vertu du principe de la légalité, consacré aux art. 5 Cst. et 7 de la Constitution vaudoise du 14 avril 2003 (Cst-VD; BLV 101.01), le droit est la base et la limite de l'activité de l'Etat. Le principe de la légalité découle aussi de l'art. 161 Cst-VD, qui stipule que toute dépense repose sur une base légale. Il est admis par la doctrine unanime et la jurisprudence du Tribunal fédéral que le principe de la légalité ne s'applique pas seulement aux restrictions étatiques à un droit fondamental, mais aussi à l'administration de prestations. Cette exigence repose sur des considérations démocratiques et découlant de l'Etat de droit. L'administration ne saurait fournir ou refuser des avantages à des tiers selon son bon vouloir; elle doit se conformer à des critères objectifs, définis par une norme (CDAP GE.2022.0069 du 14 septembre 2022 consid. 5a/aa; GE.2017.0090 du 21 janvier 2019 consid. 2a). En l'occurrence, le texte des dispositions applicables de l'arrêté COVID-19 cas de rigueur, en particulier de l'art. 4 al. 2ter, est clair. Il ne laisse en outre aucune marge de liberté à l'autorité d'application pour s'écarter des prescriptions relatives à la manière de calculer le montant du soutien financier aux entreprises. Ainsi, pour établir la perte de chiffre d'affaires d'une entreprise pour les deux derniers trimestres 2021, seule période à considérer en l'espèce (cf. consid. 3b ci-dessus), il faut comparer le chiffre d'affaires réalisé durant le trimestre 2021 concerné au quart du chiffre d'affaires annuel moyen de référence. On ne saurait par conséquent suivre le mode de calcul soutenu par la recourante. c) Pour le reste, la recourante n'élève pas d'autre critique à l'égard du calcul de l'aide pour cas de rigueur effectué par l'autorité intimée. En l'occurrence, il ressort de la décision du 4 avril 2022 et de la décision sur réclamation attaquée que l'autorité intimée a retenu comme chiffre d'affaires de référence reconnu pour les deux derniers trimestres 2021, autrement dit le deuxième semestre 2021, le montant de 372'294 francs, lequel représente la moitié du chiffre d'affaires de référence au sens de l'art. 5 al. 1 let. b de l'arrêté COVID-19 cas de rigueur (soit 744'587 francs pour l'entreprise concernée, correspondant à la moyenne des chiffres d'affaires annuels des années 2018 et 2019). Il découle de la comparaison entre ce chiffre d'affaires de référence reconnu et le chiffre d'affaires de 365'585 francs annoncé par la recourante pour la période considérée des deux derniers trimestres 2021 (art. 4 al. 2ter de l'arrêté COVID-19 cas de rigueur) que le taux de perte arrondi s'élève à 1.80% ([(372'294 fr. - 365'585 fr.) / 372'294] x 100). Comme l'indique l'autorité intimée, le calcul de l'aide prend en compte le montant des charges d'exploitation reconnues pour la période, soit 93'074 francs (186'147 fr. / 2) en le multipliant par le taux de perte du chiffre d'affaires sur la même période (1.80%), ce qui aboutit à un résultat arrondi de 1'678 francs. Conforme au droit et arithmétiquement correct, le calcul échappe à la critique. Partant, le montant de 1'678 francs alloué à la recourante au titre d'aide à fonds perdu complémentaire pour la période du 1 er juillet au 31 décembre 2021 peut être confirmé. 5. Les considérants qui précèdent conduisent au rejet du recours et à la confirmation de la décision sur réclamation attaquée. La recourante, qui succombe, devrait supporter les frais de justice (art. 49 al. 1, 91 et 99 LPA-VD), étant précisé que la règle de l'art. 16 al. 3 de l'arrêté COVID-19 cas de rigueur prévoyant la gratuité de la procédure ne s'applique pas à la procédure devant le Tribunal cantonal. Pour des motifs d'équité, il est cependant exceptionnellement renoncé à percevoir des frais de justice en l'espèce (art. 50 LPA-VD). Il n'y a pas lieu pour le reste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