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GE.2022.0167 vom 14. April 2023</w:t>
      </w:r>
    </w:p>
    <w:p>
      <w:r>
        <w:t>VD Tribunal cantonal, 2023-04-14, FR</w:t>
      </w:r>
    </w:p>
    <w:p>
      <w:r>
        <w:rPr>
          <w:b/>
        </w:rPr>
        <w:t xml:space="preserve">Quelle: </w:t>
      </w:r>
      <w:r>
        <w:t>https://mcp.opencaselaw.ch/entscheid/vd_omni_GE.2022.0167</w:t>
      </w:r>
    </w:p>
    <w:p>
      <w:r>
        <w:t>FR: VD_OMNI GE.2022.0167 du 14 avril 2023</w:t>
      </w:r>
    </w:p>
    <w:p>
      <w:r>
        <w:t>IT: VD_OMNI GE.2022.0167 del 14 aprile 2023</w:t>
      </w:r>
    </w:p>
    <w:p>
      <w:pPr>
        <w:pStyle w:val="Heading2"/>
      </w:pPr>
      <w:r>
        <w:t>Regeste</w:t>
      </w:r>
    </w:p>
    <w:p>
      <w:r>
        <w:t>A.________/Municipalité de Lausanne | Reprise suite à l'arrêt du TF du 3 août 2022 (1C_358/2022). Requête en vertu de la LPrD tendant à la destruction de toutes les données relatives à une intervention de police (en particulier l'extrait du JEP et le rapport d'investigation) déclarée irrecevable par la Municipalité de Lausanne qui avait déjà reçu une requête identique et rendu une décision y relative en décembre 2019 qui a fait l'objet d'un recours à la CDAP retiré en juillet 2020 par l'intéressé suite à un accord avec l'autorité communale. Après une transaction entre les parties contenant une modification de la décision attaquée, une nouvelle décision administrative naît, laquelle peut être l'objet d'un réexamen aux conditions posées par l'article 64 LPA-VD. Le recourant ne peut adresser une demande de "réexamen" ou une nouvelle demande que s'il invoque des faits nouveaux au sens de l'art. 64 al. 2 let. a LPA-VD. En l'occurrence, tel n'est pas le cas et c'est donc à juste titre que l'autorité intimée n'est pas entrée en matière sur sa demande. Recours rejeté et décision municpale confirmée. Recours au TF rejeté dans la mesure où il est recevable, par arrêt du 14 avril 2023 (réf. 1C_448/2022).</w:t>
      </w:r>
    </w:p>
    <w:p>
      <w:pPr>
        <w:pStyle w:val="Heading2"/>
      </w:pPr>
      <w:r>
        <w:t>Erwägungen</w:t>
      </w:r>
    </w:p>
    <w:p>
      <w:r>
        <w:rPr>
          <w:b/>
        </w:rPr>
        <w:t>E. 1</w:t>
      </w:r>
    </w:p>
    <w:p>
      <w:r>
        <w:t>Il incombe à la Cour de céans de rendre une nouvelle décision dans la présente cause, conformément au ch. 1 du dispositif de l'arrêt du Tribunal fédéral 1C_358/2022 du 3 août 2022. Il résulte de la loi sur le Tribunal fédéral que l'autorité à laquelle la cause est renvoyée (en l'espèce la Cour de céans) par le Tribunal fédéral, en application de l'art. 107 al. 2 LTF (LTF; RS 173.110), doit se fonder sur les considérants de droit contenus dans l'arrêt de renvoi. Conformément à l'arrêt de renvoi du Tribunal fédéral, il y a lieu de statuer en tenant compte des observations spontanées du recourant du 8 juin 2022.</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La jurisprudence a par ailleurs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et 2C_1224/2013 du 12 décembre 2014 consid. 4.1). La procédure de réexamen vise exclusivement les autorités et décisions de première instance, mais non les arrêts sur recours ou les jugements rendus par les juridictions administratives (PS.2017.0097 du 23 novembre 2018 ; PE.2007.0461 du 19 mai 2008) : ces derniers sont sujets à révision aux conditions prévues par les art. 100 ss LPA-VD (RE.2010.0004 du 6 décembre 203). b) En règle générale, les décisions administratives de première instance, une fois entrées en force, ne bénéficient pas de l'autorité matérielle de chose jugée. Tel est le cas des décisions qui ont des effets à caractère durable: celles-ci peuvent être adaptées par la suite si les circonstances se modifient notablement ou en cas de changement notable du droit. En revanche, les arrêts émanant des juridictions administratives bénéficient, au même titre que les jugements civils ou pénaux, de l'autorité matérielle de chose jugée, la règle " ne bis in idem " trouvant également application à leur égard (Bovay / Blanchard / Grisel Rapin, Procédure administrative vaudoise, LPA-VD annotée, Bâle 2021, rem. 2.1 ad art. 64).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du jugement n'a un caractère exclusif que pour autant que la demande de réexamen ou de reconsidération vise à remettre en cause des éléments bénéficiant de l'autorité de chose jugée, laquelle ne vaut que pour les mêmes parties, les mêmes faits et les mêmes bases juridiques (voir ATF 144 I 11 concernant la force de chose jugée d'un licenciement selon le droit cantonal du personnel ; 140 I 114 en matière fiscale; 139 II 404). Si une transaction entre les parties contient une modification de la décision attaquée, on ne se trouve pas en présence d'un arrêt judiciaire, mais d'une nouvelle décision administrative à laquelle ne s'attache aucune autorité de chose jugée. L'intéressé peut donc en demander le réexamen à l'autorité aux conditions usuelles (Bovay / Blanchard / Grisel Rapin, op. cit, rem. 2.3 ad art. 64 et les références citées). c) Le retrait du recours met fin à la procédure; il soustrait la cause au juge, qui raye la cause du rôle. Le retrait du recours est inconditionnel et irrévocable, à moins que la volonté du recourant ne soit affectée par un vice de la volonté. Est sans effet juridique la renonciation ou la perte de droits de procédure lorsque celle-ci est déterminée par un comportement incorrect de l’administration. Le recourant doit être maintenu dans son droit de recourir lorsqu’il y a renoncé ou qu’il a retiré son recours à raison de l’affirmation de l’autorité lui promettant erronément le prononcé d’une décision favorable à ses conclusions. Dans un tel cas, le retrait du recours est réputé non avenu (ATF 109 V 234 consid. 3; arrêts CP.1994.0013 et CP.1995.0003 du 5 mars 1997). Cette solution s’impose au regard du principe de la bonne foi qui doit imprégner les relations entre l'Etat et les citoyens (art. 5 al. 3 Cst. et 7 al. 2 Cst/VD; ATF 131 I 166 consid. 6.1; 126 II 97 consid. 4b), qui leur impose de se comporter l'un vis-à-vis de l'autre de manière loyale; en particulier, l'autorité doit s'abstenir de tout comportement propre à tromper le citoyen; elle ne saurait tirer aucun avantage des conséquences d'une incorrection ou d'une insuffisance de sa part (ATF 124 II 265 consid. 4a; 121 I 181 consid. 2a, et les arrêts cités). d) La LPrD ne fixe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(cf. arrêt 2C_634/2016 du 4 mai 2017 consid. 1.1.3 et les arrêts cités; voir aussi ATF 136 II 177 consid. 2.1 s'agissant du réexamen). e) En l'occurrence, la municipalité, saisie par le recourant des mêmes requêtes, a statué le 5 décembre 2019 en refusant en particulier la destruction des documents requise. Cette décision a fait l'objet d'un recours du recourant dans la procédure GE.2019.0258. En cours de procédure, les parties ont échangé et trouvé un accord. De fait, l'intéressé a accepté des propositions de la municipalité et cette dernière s'est ralliée à un point souhaité par le recourant. Le 4 juillet 2020, le recourant a informé la CDAP que la municipalité avait complété les documents querellés selon accord et dans le sens de sa proposition transactionnelle du 24 janvier 2020 et qu'il retirait ainsi purement et simplement son recours du 30 décembre 2019. Le Tribunal a donc rayé la cause du rôle par décision du 7 juillet 2020, sans statuer sur le fond de l'affaire. Conformément à la jurisprudence précitée, après une transaction entre les parties contenant une modification de la décision attaquée, une nouvelle décision administrative naît, laquelle peut être l'objet d'un réexamen aux conditions posées par l'article 64 LPA-VD. En l'occurrence, le retrait du recours était bien lié à une transaction entre les parties, la municipalité ayant modifié sa décision du 5 décembre 2019 par l'adjonction d'éléments discutés durant la procédure de recours et qui n'étaient pas contenus dans cette décision. Le recourant a dès lors retiré son recours en précisant que l’autorité intimée avait complété les documents querellés dans le sens de sa proposition transactionnelle du 24 janvier 2020. Ainsi, il faut considérer à l'instar de la municipalité qu'une nouvelle décision administrative est née, qui n'a pas force de chose jugée, mais dont le recourant ne peut demander la reconsidération qu'aux conditions habituelles relatives aux décisions administratives. On relèvera que rien n'indique dans le dossier, et le recourant ne le prétend d'ailleurs pas, que le retrait du recours aurait été déterminé par un comportement incorrect de l’autorité intimée. En règle générale, les décisions administratives de première instance, une fois entrées en force, ne bénéficient pas de l'autorité matérielle de chose jugée. Elles peuvent être adaptées par la suite si les circonstances se modifient notablement ou en cas de changement notable du droit.</w:t>
      </w:r>
    </w:p>
    <w:p>
      <w:r>
        <w:rPr>
          <w:b/>
        </w:rPr>
        <w:t>E. 3</w:t>
      </w:r>
    </w:p>
    <w:p>
      <w:r>
        <w:t>A ce stade, il convient de déterminer si la municipalité a considéré à juste titre que les conditions pour entrer en matière sur la demande du recourant du 5 décembre 2021 n'étaient pas remplies (art. 64 LPA-VD) et le Tribunal se bornera donc à examiner si c'est à juste titre que la municipalité a déclaré la demande du recourant irrecevable, respectivement n'est pas entré en matière sur celle-ci. a) En l'occurrence, les lettres b et c de l'art. 64 al. 2 LPA-VD, dont la teneur a été rappelée ci-dessus, n'entrent manifestement pas en ligne de compte, et le recourant ne le prétend d'ailleurs pas. b) Partant, le recourant ne peut adresser une demande de " réexamen "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En l'occurrence, le recourant soutient que la conservation et le traitement de ces données litigieuses ne respectent pas du tout le principe de la proportionnalité au sens de l'art. 7 LPrD et que ces données sensibles ne présenteraient actuellement plus aucune utilité pour les autorités, car elles auraient été collectées uniquement pour dresser un rapport de dénonciation calomnieuse à l'attention d'une autorité qui a statué il y a plus de trois ans. Partant, elles devraient être détruites. Il considère que " l'éventuel et douteux intérêt public " justifiant encore leur conservation pourrait être satisfait par le dossier archivé par la Préfecture du district de Lausanne ayant prononcé la condamnation, ce qui éviterait aux policiers du canton d'avoir accès à des données selon lui calomnieuses et sérieusement préjudiciables. Il soutient donc implicitement que l'écoulement du temps pourrait constituer une modification de l'état de fait au sens de l'art. 64 al. 2 a let a LPA-VD et que la conservation des données litigieuses serait désormais injustifiée. c) Dans le cadre de sa décision du 5 décembre 2019, l'autorité intimée retenait que le JEP constitue une base de données qui a pour but principal d'assurer la traçabilité des très nombreuses interventions menées par les différentes polices vaudoises. Partant, et dès qu'une intervention de police a lieu, il est nécessaire du point de vue de sa traçabilité qu'une mention apparaisse dans le JEP pour en particulier permettre de déterminer la composition des patrouilles, qui est intervenu, qui a été rencontré, où et quand l'intervention a eu lieu, ce qui été constaté sur place et quelle a été la suite donnée à celle-ci. Des traces précises de l'intervention se justifient d'autant plus, lorsque l'intervention est suivie d'une dénonciation et/ou d'une condamnation pénale, ou lorsque les circonstances de l'interpellation sont elles-mêmes contestées. Des modifications ou retranchements ont également été refusés pour des motifs de compréhension ou parce qu'ils concernaient des déclarations de tiers, retranscrites comme telles. Force est de constater que dans sa requête du 5 décembre 2021, le recourant conteste toujours le bien-fondé de l'intervention de police. Il conteste aussi le rapport de dénonciation qu'il qualifie de calomnieux et remet en question le travail des agents. Ainsi, au-delà de l'intérêt public général de pouvoir vérifier l'ensemble des activités du corps de police, but pouvant être atteint par le report dans le JEP, l'intérêt à la conservation des données subsiste en l'occurrence d'autant plus que l'action des agents est inlassablement contestée par le recourant. A cet égard, le fait que l'ordonnance de non-entrée en matière rendue par le Ministère public de l'arrondissement de Lausanne le 9 avril 2020 suite à la plainte déposée par le recourant contre les intervenants et leur hiérarchie ait été confirmée par le Tribunal cantonal par arrêt du 18 mai 2020, puis par le Tribunal fédéral par arrêt du 7 juillet 2020 (6B_760/2020) n'y change rien, bien au contraire: nonobstant ces décisions, dont il se prévaut dans ses déterminations spontanées du 8 juin 2022, le recourant persiste à contester dans ces dernières, le bien-fondé de cette " regrettable intervention de police " qu'il qualifie d'" inqualifiable et scandaleuse bavure policière ". L'autorité intimée doit ainsi pouvoir disposer des documents incriminés pour justifier ses actions, les concessions possibles ayant déjà été réalisées avec l'accord du recourant. L'archivage du rapport par la seule Préfecture, comme proposé par ce dernier, n'est pas une mesure suffisante, vu le contexte, l'autorité devant pouvoir disposer de ces données et l'intérêt public justifiant leur conservation étant toujours d'actualité, nonobstant une condamnation pénale intervenue il y a près de trois ans. Une nouvelle requête de destruction de pièces conservées dans un dossier de police ou une demande de réexamen ne doit pas permettre de remettre en cause sans cesse une décision. Tel est le cas en l'occurrence où le recourant a déposé auprès du commandant de police une nouvelle requête de destruction alors même qu'une procédure précédente, aboutissant à un accord et au retrait de recours, confirmait l'utilité de les conserver dans le JEP. L'autorité intimée ne saurait se voir reprocher de ne pas avoir donné suite à cette nouvelle requête, le recourant ne démontrant pas que les circonstances de fait et de droit qui prévalaient se sont modifiées au point qu'un nouvel examen de la demande de destruction de pièces s'imposait. Par ailleurs, le recourant n'indique pas davantage les raisons qui l'ont conduit à retirer son recours s'il considérait que la conservation des pièces litigieuses dans le JEP était disproportionnée et alors qu'il n'a reçu aucune assurance quant à la destruction de pièces. A cet égard, les points dont se prévaut le recourant dans son écriture du 8 juin 2022 n'apportent aucun élément nouveau ou déterminant. La situation du recourant ne s'étant ainsi pas modifiée dans une mesure juridiquement pertinente depuis lors, on ne peut reprocher à l'autorité intimée d'être parvenue à la même conclusion. Pour le surplus, il ne résulte pas du dossier que la situation du recourant aurait subi des changements importants sur d'autres aspects. C'est donc à juste titre que l'autorité intimée n'est pas entrée en matière sur sa demande.</w:t>
      </w:r>
    </w:p>
    <w:p>
      <w:r>
        <w:rPr>
          <w:b/>
        </w:rPr>
        <w:t>E. 4</w:t>
      </w:r>
    </w:p>
    <w:p>
      <w:r>
        <w:t>Manifestement mal fondé, le recours est rejeté et la décision attaquée confirmée. Au vu des circonstances, il est renoncé à prélever des frais judiciaires (art. 49 et 50 LPA-VD). Il n'est pas alloué de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