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GE.2022.0129 vom 15. Dezember 2022</w:t>
      </w:r>
    </w:p>
    <w:p>
      <w:r>
        <w:t>VD Tribunal cantonal, 2022-12-15, FR</w:t>
      </w:r>
    </w:p>
    <w:p>
      <w:r>
        <w:rPr>
          <w:b/>
        </w:rPr>
        <w:t xml:space="preserve">Quelle: </w:t>
      </w:r>
      <w:r>
        <w:t>https://mcp.opencaselaw.ch/entscheid/vd_omni_GE.2022.0129</w:t>
      </w:r>
    </w:p>
    <w:p>
      <w:r>
        <w:t>FR: VD_OMNI GE.2022.0129 du 15 décembre 2022</w:t>
      </w:r>
    </w:p>
    <w:p>
      <w:r>
        <w:t>IT: VD_OMNI GE.2022.0129 del 15 dicembre 2022</w:t>
      </w:r>
    </w:p>
    <w:p>
      <w:pPr>
        <w:pStyle w:val="Heading2"/>
      </w:pPr>
      <w:r>
        <w:t>Regeste</w:t>
      </w:r>
    </w:p>
    <w:p>
      <w:r>
        <w:t>A.________/POLICE CANTONALE | Recours contre une mesure d'interdiction de stades prononcée par la Police cantonale. Les éléments au dossier (vidéosurveillance, rapports de police, observations d'agents spécialement formés contre le hooliganisme) démontrent que le recourant a pris part de façon avérée aux actes de violence commis à la suite d'un match de football entre le LS et GC (consid. 2). La mesure contestée respecte le principe de la proportionnalité (consid. 3). Rejet du recours.</w:t>
      </w:r>
    </w:p>
    <w:p>
      <w:pPr>
        <w:pStyle w:val="Heading2"/>
      </w:pPr>
      <w:r>
        <w:t>Erwägungen</w:t>
      </w:r>
    </w:p>
    <w:p>
      <w:r>
        <w:rPr>
          <w:b/>
        </w:rPr>
        <w:t>E. 1</w:t>
      </w:r>
    </w:p>
    <w:p>
      <w:r>
        <w:t>La décision attaquée porte interdiction de périmètre au sens de l'art. 4 du concordat instituant des mesures contre la violence lors de manifestations sportives (C-MVMS; BLV 125.93). La loi vaudoise du 17 novembre 2009 d'application du concordat précité (LC-MVMS; BLV 125.15) désigne la Police cantonale en tant qu'autorité compétente pour décider d'une telle mesure de police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de police,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vaudoise du 28 octobre 2008 sur la procédure administrative (LPA-VD; BLV 173.36), que la personne visée doit agir si elle entend contester une interdiction de périmètre prononcée par la Police cantonale (cf. CDAP GE.2018.0212 du 5 août 2019 consid. 1).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a) Sous un premier grief, le recourant se prévaut de la violation de l'art. 4 C-MVMS, soulignant qu'il n'est pas établi qu'il a pris part de façon avérée aux actes de violence que lui impute l'autorité intimée, de sorte que cette dernière ne pouvait pas prononcer à son encontre une interdiction de périmètre. b) Les conditions auxquelles une interdiction de périmètre peut être prononcée découlent du C-MVMS. aa) Selon l'art. 4 al. 1 C-MVMS,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L'art. 2 al. 1 C-MVMS dresse la liste non-exhaustive des infractions considérées comme des comportements violents ou des actes de violence au sens du concordat (ATF 140 I 2 consid. 8). Celui-ci prévoit des mesures de police spéciales, organisées selon un système "en cascade" (ATF 140 I 2 consid. 12.3.1), soit l'interdiction de périmètre (art. 4 s. C-MVMS), l'obligation de se présenter (art. 6 s. C-MVMS) et la garde à vue (art. 8 s. C-MVMS). Dites mesures visent la prévention d'actes de violence lors de manifestations sportives (arrêts TC SG B 2019/54 du 4 juillet 2019 consid. 3.1.1; TC ZH VB.2020.00191 du 19 juin 2020 consid. 3.1). La définition du comportement violent pouvant donner lieu au prononcé d'une mesure fondée sur le concordat renvoie aux éléments constitutifs d'infractions pénales; cela ne signifie toutefois pas que les mesures prévues par le C-MVMS relèvent du droit pénal; l'interdiction de périmètre est une sanction administrative, qui vise en premier lieu à maintenir l'ordre public et non à sanctionner. Cette mesure n'a pas pour fonction de punir son destinataire pour un comportement passé, mais vise à garantir la sécurité publique, en maintenant à l'écart des manifestations sportives une personne potentiellement dangereuse (CDAP GE.2018.0212 précité consid. 3b; TC SG B 2019/54 précité consid. 3.1.1). bb) En outre, l'art. 4 al. 1 C-MVMS prévoit, on l'a vu, que la personne concernée doit avoir pris part "de façon avérée" à des actes de violence. A propos de la preuve du comportement violent, l'art.</w:t>
      </w:r>
    </w:p>
    <w:p>
      <w:r>
        <w:rPr>
          <w:b/>
        </w:rPr>
        <w:t>E. 3</w:t>
      </w:r>
    </w:p>
    <w:p>
      <w:r>
        <w:t>Sous un second grief, le recourant fait valoir que la mesure d'interdiction de périmètre serait disproportionnée (art. 5 al. 2 Cst), notamment du point de vue de sa durée et de l'étendue géographique visée. a) Le principe de la proportionnalité, applicable notamment en matière de sanction administrative (arrêts TF 2C_220/2017 du 25 août 2017 consid. 4.6.2; CDAP GE.2018.0212 précité consid. 5a),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142 I 76 consid. 3.5.1; 140 I 218 consid. 6.7.1). b) En l'occurrence, comme on l'a vu ci-avant, le comportement violent que le recourant a adopté par le passé lui a déjà valu une mesure d'interdiction de stade, du 9 mars 2017 au 4 mars 2020, ainsi qu'une obligation de se présenter à la police du 7 mars 2017 au 30 juin 2018. Le recourant allègue que ces mesures ont eu un effet dissuasif sur lui et qu'il n'a fait l'objet d'aucune mesure depuis. Cette assertion doit toutefois être relativisée au regard du contexte particulier dans lequel se sont déroulés les matchs depuis mars 2020 à la suite de la pandémie de Covid-19. De mars à juin 2020, le championnat suisse de football a ainsi été suspendu. Il a ensuite repris à huis clos. Dans ces conditions, la Cour de céans ne peut que se rallier à la position de l'autorité intimée, qui expose, dans sa détermination du 20 septembre 2022, que le match du 17 octobre 2021 était l'un des premiers matchs post-Covid-19 avec du public: ainsi, le recourant, dès qu'il a pu reprendre part aux matchs de football, a réitéré son comportement réprimé en 2017. Le moins que l'on puisse dire est que le recourant, récidiviste, n'a guère tenu compte des mesures administratives prononcées à son encontre et ne semble pas avoir tiré toutes les leçons desdites mesures, puisqu'il a participé de manière active aux actes de violence survenus au terme de la rencontre entre le LS et GC. Il apparaît ainsi que l'autorité intimée, qui aurait pu aller jusqu'à une interdiction de périmètre d'une durée de trois ans, voire prononcer une mesure plus grave telle que l'obligation de se présenter (art. 6 s. C-MVMS) ou la garde à vue (art. 8 s. C-MVMS) (cf. arrêt GE.2015.0031 précité consid. 4d) a respecté le principe de la proportionnalité en prononçant une interdiction de périmètre d'une durée de 18 mois. Cette mesure est de nature à produire les résultats escomptés, soit l'amendement durable du recourant (cf. ATF 140 I 2 consid. 11.2.2; arrêt GE.2018.0212 précité consid. 5a). Enfin, l'intérêt public à prévenir les actes de violence survenant lors de manifestations sportives l'emporte sur l'intérêt privé du recourant à assister aux matchs de GC. c) Dans la mesure où une alliance s'est concrétisée entre les ultras de GC et ceux du FC Thoune, c'est à juste titre que cette interdiction a été étendue aux stades utilisés pour des matchs, aussi bien de championnat qu'amicaux, de ces deux clubs. De plus, il n'est pas rare de voir des alliances se créer entre les ultras d'une équipe de hockey sur glace et ceux d'une équipe de football, de sorte que ceux-ci se retrouvent indistinctement à suivre les matchs de hockey ou de football (cf. CDAP GE 2018.0212 précité consid. 5c). La société B.________, qui exploite le FC Lausanne-Sport, a d'ailleurs notifié au recourant une interdiction de stades et de patinoires à Lausanne. L'extension de l'interdiction en ce qu'elle touche les matchs du ZSC Lions ne prête ainsi pas le flanc à la critique. La mesure contestée apparaît ainsi comme proportionnée.</w:t>
      </w:r>
    </w:p>
    <w:p>
      <w:r>
        <w:rPr>
          <w:b/>
        </w:rPr>
        <w:t>E. 4</w:t>
      </w:r>
    </w:p>
    <w:p>
      <w:r>
        <w:t>Au vu de ce qui précède, le recours doit être rejeté et la décision attaquée confirmée. Le recourant, qui succombe, supportera les frais de justice (cf. art. 49 al. 1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