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GE.2022.0073 vom 20. Oktober 2022</w:t>
      </w:r>
    </w:p>
    <w:p>
      <w:r>
        <w:t>VD Tribunal cantonal, 2022-10-20, FR</w:t>
      </w:r>
    </w:p>
    <w:p>
      <w:r>
        <w:rPr>
          <w:b/>
        </w:rPr>
        <w:t xml:space="preserve">Quelle: </w:t>
      </w:r>
      <w:r>
        <w:t>https://mcp.opencaselaw.ch/entscheid/vd_omni_GE.2022.0073</w:t>
      </w:r>
    </w:p>
    <w:p>
      <w:r>
        <w:t>FR: VD_OMNI GE.2022.0073 du 20 octobre 2022</w:t>
      </w:r>
    </w:p>
    <w:p>
      <w:r>
        <w:t>IT: VD_OMNI GE.2022.0073 del 20 ottobre 2022</w:t>
      </w:r>
    </w:p>
    <w:p>
      <w:pPr>
        <w:pStyle w:val="Heading2"/>
      </w:pPr>
      <w:r>
        <w:t>Regeste</w:t>
      </w:r>
    </w:p>
    <w:p>
      <w:r>
        <w:t>A.________/Service de la population (SPOP), Direction générale de l'emploi et du marché du travail - DGEM | Rejet du recours contre des décisions sommant la recourante de respecter à l'avenir les dispositions en vigueur en matière d'engagement de main d'oeuvre étrangère et mettant les frais de contrôle à sa charge, suite à l'interpellation d'un ouvrier oeuvrant sans les autorisations nécessaires sur son chantier. La recourante fait valoir que l'ouvrier n'est pas son employé mais celui d'une autre société, qui l'avait mis à sa disposition. Il convient d'admettre, au vu des déclarations de l'ouvrier, que la recourante l'occupait à son service. Quoi qu'il en soit, même en admettant que l'ouvrier n'ait pas été formellement l'employé de la recourante, celle-ci a reconnu qu'il avait été mis à sa disposition sur le chantier. Par ailleurs, il travaillait très vraisemblablement sous les instructions de l'autre employé de la recourante présent sur le chantier. Compte tenu de ces éléments, il ne fait aucun doute que la recourante a bénéficié, effectivement, de ses services, agissant ainsi comme son employeur de fait. Or, l’employeur de fait est tenu au même devoir de diligence que l’employeur de droit et ne peut donc s’en décharger au seul motif que ce dernier y a manqué avant lui.</w:t>
      </w:r>
    </w:p>
    <w:p>
      <w:pPr>
        <w:pStyle w:val="Heading2"/>
      </w:pPr>
      <w:r>
        <w:t>Erwägungen</w:t>
      </w:r>
    </w:p>
    <w:p>
      <w:r>
        <w:rPr>
          <w:b/>
        </w:rPr>
        <w:t>E. 1</w:t>
      </w:r>
    </w:p>
    <w:p>
      <w:r>
        <w:t>Interjetés en temps utile auprès de l'autorité compétente, les recours satisfont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Le litige porte sur la sommation et les frais infligés à la recourante pour non-respect des procédures applicables à l'engagement de main-d'œuvre étrangère.</w:t>
      </w:r>
    </w:p>
    <w:p>
      <w:r>
        <w:rPr>
          <w:b/>
        </w:rPr>
        <w:t>E. 3</w:t>
      </w:r>
    </w:p>
    <w:p>
      <w:r>
        <w:t>La première décision dont est recours retient que la recourante a occupé à son service un travailleur étranger qui n'était pas en possession de l'autorisation nécessaire délivrée par l'autorité compétente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(art. 91 al. 2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TF 6B_243/2014 du 15 juillet 2014 consid. 5.3; TF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arrêts CDAP GE.2018.0237 du 12 juin 2019 consid. 3b; PE.2018.0369 du 4 mars 2019 consid. 2a/cc et les références citées). c)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arrêts CDAP GE.2018.0237 du 12 juin 2019 consid. 3c; PE.2018.0269 du 21 mars 2019 consid. 3a; GE.2018.0171 et PE.2018.0330 du 5 février 2019 consid. 2a et les références citées). d) En l’espèce, la recourante fait valoir que l'ouvrier interpelé alors qu'il travaillait sur son chantier, C.________, n’était pas son employé, mais celui d’une autre société, E.________, qui l'avait mis à sa disposition, et que D.________, associé gérant de cette dernière, lui ayant affirmé à plusieurs reprises que C.________ était en ordre administrativement, elle n’avait pas l’obligation de vérifier qu’il disposait des autorisations de travail nécessaires. On constate que lorsque les inspecteurs ont contacté la recourante suite au contrôle de C.________, le 3 novembre 2021, le technicien qui leur a répondu leur a indiqué que C.________ avait été mis à disposition de la recourante par une entreprise tierce. D.________, associé gérant de la société E.________ a également indiqué aux inspecteurs que C.________ travaillait pour son entreprise. Toutefois, C.________ a clairement indiqué être employé par la recourante. C'est ce qu'il a déclaré aux inspecteurs lors de son interpellation sur le chantier, puis lorsqu'il a été interrogé par la police cantonale, précisant à cette occasion de quelle manière son engagement avait eu lieu: sur les conseils d'un ami, il avait contacté l'associé gérant de la recourante par téléphone, lequel l'avait engagé à l'essai pendant une semaine. Avec son recours, la recourante produit, à titre de preuve que C.________ est l'employé de l'entreprise E.________, la photo d'un message écrit téléphonique adressé le 11 novembre 2021 par C.________ à B.________, dans lequel le premier admet ne pas avoir dit aux inspecteurs que D.________ (associé gérant de E.________) était son employeur car il avait peur de perdre son emploi. Or, une telle pièce ne saurait constituer une preuve, dès lors qu'il n'est pas établi que c'est réellement C.________ qui a envoyé ce message (seul y figure en effet le prénom "C.________" comme expéditeur). Il apparaît dès lors, au vu des déclarations de C.________, qu'il était bien l'employé de la recourante. Quoi qu'il en soit, comme le fait valoir l'autorité intimée, même en admettant que C.________ n'ait pas été formellement l'employé de la recourante, celle-ci a reconnu qu'il avait été mis à sa disposition sur le chantier. Par ailleurs, C.________ travaillait très vraisemblablement sous les instructions de l'autre employé de la recourante présent sur le chantier. Compte tenu de ces éléments, il ne fait aucun doute que la recourante a bénéficié, effectivement, de ses services, agissant ainsi comme son employeur de fait. Or, l’employeur de fait est tenu au même devoir de diligence que l’employeur de droit et ne peut donc s’en décharger au seul motif que ce dernier y a manqué avant lui. L'argument de la recourante consistant à dire que, dans la mesure où D.________, associé gérant de E.________, lui ayant affirmé à plusieurs reprises que C.________ était en ordre administrativement, elle n’avait pas l’obligation de vérifier qu’il disposait des autorisations de travail nécessaires, tombe ainsi à faux. Selon la jurisprudence en effet, il lui appartenait au contraire de contrôler personnellement qu'il était autorisé à travailler en Suisse, ce qu’elle n’a pas fait. e) C’est en conséquence à juste titre que l’autorité intimée a retenu que la recourante était l’employeur du travailleur étranger, qu’elle avait manqué à son devoir de diligence (art. 91 al. 1 LEI) en ne vérifiant pas que ce dernier disposait des autorisations requises et qu’elle devait par conséquent être sanctionnée pour ce motif (art. 122 al. 2 LEI). La décision attaquée, qui prononce un avertissement, soit la sanction la moins sévère prévue par l’art. 122 al. 2 LEI, est en outre conforme au principe de la proportionnalité. La première décision attaquée, intitulée "infraction au droit des étrangers", doit dès lors être confirmée.</w:t>
      </w:r>
    </w:p>
    <w:p>
      <w:r>
        <w:rPr>
          <w:b/>
        </w:rPr>
        <w:t>E. 4</w:t>
      </w:r>
    </w:p>
    <w:p>
      <w:r>
        <w:t>La deuxième décision litigieuse condamne la recourante au paiement des frais de contrôle, par 1’650 francs. a)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la recourante se contente de contester, sur le principe, les frais de contrôle facturés conséquemment au contrôle. Or, il a été établi précédemment que la recourante a occupé à son service un ressortissant étranger sans autorisation, alors qu'il lui appartenait de vérifier le statut légal de ce travailleur (cf. consid. 3 supra). Ce comportement étant constitutif d'une infraction au droit des étrangers et, partant, d'une atteinte au sens de l'art. 6 LTN, c'est à juste titre que l'autorité intimée a mis à sa charge les frais occasionnés par le contrôle. Pour le surplus, la recourante ne conteste ni le décompte d'heures effectué, qui paraît admissible au regard de la nature de l'affaire, ni le tarif appliqué, qui ne prête pas le flanc à la critique. Il s'ensuit que la seconde décision attaquée, intitulée "facturation des frais de contrôle", s'avère également bien fondée.</w:t>
      </w:r>
    </w:p>
    <w:p>
      <w:r>
        <w:rPr>
          <w:b/>
        </w:rPr>
        <w:t>E. 5</w:t>
      </w:r>
    </w:p>
    <w:p>
      <w:r>
        <w:t>Les considérants qui précèdent conduisent au rejet des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