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GE.2022.0046 vom 15. Juli 2022</w:t>
      </w:r>
    </w:p>
    <w:p>
      <w:r>
        <w:t>VD Tribunal cantonal, 2022-07-15, FR</w:t>
      </w:r>
    </w:p>
    <w:p>
      <w:r>
        <w:rPr>
          <w:b/>
        </w:rPr>
        <w:t xml:space="preserve">Quelle: </w:t>
      </w:r>
      <w:r>
        <w:t>https://mcp.opencaselaw.ch/entscheid/vd_omni_GE.2022.0046</w:t>
      </w:r>
    </w:p>
    <w:p>
      <w:r>
        <w:t>FR: VD_OMNI GE.2022.0046 du 15 juillet 2022</w:t>
      </w:r>
    </w:p>
    <w:p>
      <w:r>
        <w:t>IT: VD_OMNI GE.2022.0046 del 15 luglio 2022</w:t>
      </w:r>
    </w:p>
    <w:p>
      <w:pPr>
        <w:pStyle w:val="Heading2"/>
      </w:pPr>
      <w:r>
        <w:t>Regeste</w:t>
      </w:r>
    </w:p>
    <w:p>
      <w:r>
        <w:t>A.________/Municipalité d'Yverdon-les-Bains | Recours dirigé contre une décision refusant de transmettre au recourant, conseiller communal et membre suppléant de la commission des finances, des écritures en lien avec des comptes de la commune relatifs au renouvellement des réseaux 2019 et à l'épuration eaux et réfection de chaussée 2019 de leur création au 31 décembre 2021. La demande étant formée sur la base de la LInfo, c'est seulement aux critères de cette loi qu'il faut se référer pour décider si le recourant peut avoir accès aux informations requises (consid. 3). Les comptes dont les écritures sont requises portent sur des tâches publiques communales et sont des documents officiels (consid. 4). Au 15 avril de chaque année, la comptabilité doit être considérée comme achevée (consid. 5). Aucun motif ne permet de s'opposer valablement à la transmission puisqu'en particulier, les écritures ont fait l'objet de comptabilités approuvées par le législatif communal, leur transmission n'est pas susceptible de perturber le fonctionnement actuel de l'administration et l'autorité intimée ne fait pas état d'intérêts privés prépondérants qui s'y opposeraient (consid. 6). Le recours est admis, la décision annulée et le dossier renvoyé à l'autorité intimée pour qu'elle communique les infromations demandées pour les années 2019, 2020 et 2021 et examiner si les informations personnelles mentionnées dans les documents à transmettre doivent faire l'objet d'une anonymisation (consid. 7).</w:t>
      </w:r>
    </w:p>
    <w:p>
      <w:pPr>
        <w:pStyle w:val="Heading2"/>
      </w:pPr>
      <w:r>
        <w:t>Erwägungen</w:t>
      </w:r>
    </w:p>
    <w:p>
      <w:r>
        <w:rPr>
          <w:b/>
        </w:rPr>
        <w:t>E. 1</w:t>
      </w:r>
    </w:p>
    <w:p>
      <w:r>
        <w:t>Dans son écriture du 5 avril 2022, le recourant a modifié ses conclusions, en requérant complémentairement que les extraits de comptes demandés par d'autres commissions du Conseil communal soient transmis et que cette transmission soit gratuite, ainsi qu'à ce que l'autorité intimée soit enjointe à respecter la loi sur l'information pour tous les citoyens.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litige peut être réduit par rapport à l'objet de la contestation. Il ne peut en revanche en principe s'étendre au-delà de celui-ci (cf. ATF 144 II 359 consid. 4.3; 136 II 457 consid. 4.2; 136 II 165 consid. 5). Le Tribunal cantonal ne peut donc pas se prononcer en dehors de l'objet de la contestation et il n'a pas à traiter les conclusions qui sortent du cadre fixé par la décision attaquée (cf. art. 79 al. 1 de la loi sur la procédure administrative du 28 octobre 2008 [LPA-VD; BLV 173.36], applicable par renvoi de l'art. 99 LPA-VD: arrêt CDAP PS.2020.0067 du 15 janvier 2021 et les références citées). b) En l'espèce, la décision attaquée ne porte que sur la transmission au recourant des écritures litigieuses et non sur les éventuelles requêtes d'autres commissions du législatif communal, respectivement sur une injonction à respecter la loi. Les conclusions prises par le recourant sortant du cadre de la décision sont donc irrecevables.</w:t>
      </w:r>
    </w:p>
    <w:p>
      <w:r>
        <w:rPr>
          <w:b/>
        </w:rPr>
        <w:t>E. 2</w:t>
      </w:r>
    </w:p>
    <w:p>
      <w:r>
        <w:t>Un membre du conseil général ou communal peut se voir refuser les informations suivantes : a. les documents internes sur lesquels la municipalité s'est directement fondée pour prendre une décision; b. les informations qui relèvent de la sécurité de la commune; c. les informations qui doivent rester confidentielles pour des motifs prépondérants tenant à la protection de la personnalité ou d'un secret protégé par la loi.</w:t>
      </w:r>
    </w:p>
    <w:p>
      <w:r>
        <w:rPr>
          <w:b/>
        </w:rPr>
        <w:t>E. 2.3</w:t>
      </w:r>
    </w:p>
    <w:p>
      <w:r>
        <w:t>et 2.4). La Haute Cour a également précisé qu'il n'était également pas déraisonnable de ne pas faire de l'approbation par un conseil municipal un critère empêchant la consultation d'un document relatif à l'accomplissement d'une tâche publique (consid. 3.3).</w:t>
      </w:r>
    </w:p>
    <w:p>
      <w:r>
        <w:rPr>
          <w:b/>
        </w:rPr>
        <w:t>E. 3</w:t>
      </w:r>
    </w:p>
    <w:p>
      <w:r>
        <w:t>Le recourant fonde sa demande de production des pièces requises, soit les écritures en lien avec les comptes ******** Renouvellement des réseaux 2019 et ******** Epuration eaux &amp; réfection chaussée 2019, ceci de leur création au 31 décembre 2021, sur la LInfo, comme le montre l'intitulé de son recours. L'autorité intimée construit la motivation de son refus sur les dispositions de la LC et en particulier sur les informations pouvant être obtenues par les conseillers communaux dans le cadre de leur fonction. Ce raisonnement ne saurait être suivi. En effet, la LInfo dispose de critères propres pour déterminer quels documents peuvent être transmis au public et c'est uniquement à ceux-là qu'il convient de se référer pour déterminer si, dans le cas d'espèce, le recourant peut avoir accès aux informations requises. Il importe peu que la législation sur les communes soit plus, ou moins, restrictive dans la mesure où les hypothèses envisagées sont différentes, les dispositions de cette dernière ne visant pas le public en général. Au demeurant, le système de contrôle de l'application des dispositions invoquées par l'autorité intimée est distinct de celui de la LInfo. En effet, en cas de refus d'une municipalité de communiquer des éléments à un membre de son corps législatif, la contestation doit être adressée au préfet qui tente la conciliation et statue en cas de désaccord, cette décision étant susceptible d'un recours au Conseil d'Etat (cf. art. 40c al. 3 LC; David Equey, La réforme de la loi vaudoise sur les communes, RDAF 2013 I 231, 265-266). Ainsi, la portée des dispositions de la LC ne sera pas examinée dans le présent arrêt, sous réserve de celles liées à la comptabilité, pour les motifs évoqués plus bas.</w:t>
      </w:r>
    </w:p>
    <w:p>
      <w:r>
        <w:rPr>
          <w:b/>
        </w:rPr>
        <w:t>E. 4</w:t>
      </w:r>
    </w:p>
    <w:p>
      <w:r>
        <w:t>Il convient dans un premier temps de déterminer la nature des informations requises par le recourant. a) La comptabilité communale doit donner une situation claire, complète et véridique des finances, des patrimoines et des dettes communales (art. 3 al. 1 du règlement du 14 décembre 1979 sur la comptabilité des communes [RCCom; BLV 175.31.1]). Selon l'art. 23 al. 1 RCCom, cette comptabilité comprend notamment un journal en partie double consignant chronologiquement toutes les opérations comptables (let. a), des comptes classés dans l'ordre de la classification administrative du plan comptable (let. b) et tous les livres, registres, fichiers, pièces et autres supports nécessaires à la bonne tenue et à la vérification aisée de la comptabilité (let. c). Tous ces documents sont soigneusement conservés et classés dans les archives communales (art. 23 al. 2 RCCom). b) Comme déjà évoqué, le recourant requiert la production des écritures en lien avec les comptes ******** Renouvellement des réseaux 2019 et ******** Epuration eaux &amp; réfection chaussée 2019, ceci de leur création au 31 décembre 2021. Il s'agit donc d'éléments de comptes au sens de l'art. 23 al. 1 let. b RCCom, qui ne comportent pas les pièces comptables elles-mêmes (factures, attestation de paiement, etc.) justifiant les différentes écritures. En conséquence, l'analyse qui suit ne portera que sur les éléments figurant dans la comptabilité elle-même et non sur les pièces justificatives. c) Au vu de leur intitulé, les comptes dont les écritures sont requises portent sur des tâches publiques communales, ce qui n'est d'ailleurs pas contesté. Ainsi, les écritures demandées constituent le reflet des dépenses engagées par la Commune d'Yverdon-les-Bains pour l'accomplissement de ces tâches, ce qui en fait un document officiel au sens de l'art. 9 al. 1 LInfo. Il ne s'agit en outre manifestement pas d'un document à usage personnel ni à usage interne (cf. sur ce dernier point art. 9 al. 2 LInfo et 14 RLInfo). Enfin, le fait qu'un résumé de ses comptes soit mis à disposition du public par la Commune d'Yverdon (voir le site www.yverdon-les-bains.ch) n'impose pas d'opérer une distinction entre les comptes de résultats (compte de fonctionnement et bilan, cf. art. 24 ss RCCom) et les autres (cf. arrêt TF 1C_25/2017 du 28 août 2017 cité plus haut). Les premiers ne constituent en réalité que les additions des seconds.</w:t>
      </w:r>
    </w:p>
    <w:p>
      <w:r>
        <w:rPr>
          <w:b/>
        </w:rPr>
        <w:t>E. 5</w:t>
      </w:r>
    </w:p>
    <w:p>
      <w:r>
        <w:t>Comme indiqué précédemment, seuls les documents achevés sont soumis à la LInfo. Il convient donc de déterminer quand la comptabilité communale peut être considérée comme telle. a) L'exercice comptable communal s'achève au 31 décembre de chaque année (art. 93c LC et 25 RCCom), les comptes devant être bouclés dans le plus bref délai, au plus tard pour le 15 avril de chaque année (art. 32 RCCom). Il ressort également de l'art. 93c al. 2 1 ère phrase LC, que le rapport de la municipalité sur la gestion, les comptes arrêtés au 31 décembre précédent, accompagnés cas échéant du rapport et du rapport-attestation du réviseur, sont remis aux conseil général ou communal au plus tard le 31 mai de chaque année et renvoyés à l'examen de la commission de gestion. Son rapport et ses observations, les réponses de la municipalité et les documents nécessaires sont ensuite mis à disposition des conseillers (cf. art. 93d LC). Enfin, le conseil précité doit délibérer sur les comptes (art. 4 al. 1 ch. 2 LC), avant que ceux-ci soient soumis à l'examen et au visa du préfet au plus tard le 15 juillet, accompagnés du rapport de révision (art. 93g LC). L'art. 37 RCCom précise que le vote sur la gestion et les comptes intervient au plus tard le 30 juin de chaque année. b) Le caractère achevé de la comptabilité doit se concevoir à la lumière des principes de la LInfo et donc de l'accessibilité la plus aisée aux documents. Ainsi, on ne saurait considérer que seuls les comptes approuvés par le législatif, après examen par la commission de gestion, constitueraient un document achevé au sens de l'art. 9 al. 1 LInfo. En effet, la comptabilité contient des informations intervenues au plus tard le 31 décembre de l'année précédente. Même si l'on peut admettre que certains ajustements peuvent être nécessaires, notamment en lien avec les comptes transitoires, il n'y a pas de doute que la comptabilité peut être considérée avant son approbation formelle. Le RCCom prévoit d'ailleurs que le bouclement des comptes doit intervenir au plus tard le 15 avril de chaque année. Dès lors, à tout le moins à cette date la comptabilité doit être considérée achevée, le document étant complet.</w:t>
      </w:r>
    </w:p>
    <w:p>
      <w:r>
        <w:rPr>
          <w:b/>
        </w:rPr>
        <w:t>E. 6</w:t>
      </w:r>
    </w:p>
    <w:p>
      <w:r>
        <w:t>Comme indiqué plus haut, le recourant requiert la transmission des écritures en lien avec les comptes ******** Renouvellement des réseaux 2019 et ******** Epuration eaux &amp; réfection chaussée 2019, ceci de leur création au 31 décembre 2021. a) Les écritures intervenues en 2019 et 2020 ont fait l'objet de comptabilités approuvées par le législatif communal – en tous les cas l'autorité intimée ne suggère pas le contraire. En principe, elles devraient donc être transmises à un tiers qui en fait la demande. b) Il en va de même des écritures intervenues en 2021. En effet, au jour du rendu du présent arrêt, il est certain que le bouclement de la comptabilité a été réalisé – respectivement que les comptes ont été approuvés par le législatif communal. Il n'est donc pas nécessaire de déterminer plus avant si la comptabilité devait déjà être transmise au moment où la requête a concrètement été formulée. c) Comme on l'a déjà évoqué sous consid. 3, le fait que la LC limiterait l'accès des conseillers communaux à ces informations n'est pas pertinent en l'espèce, seules les règles de la LInfo étant applicables. Une éventuelle divergence entre le résultat de l'application des différents règles légales doit le cas échéant être corrigé par le législateur lui-même. On ne saurait en tirer une argumentation s'opposant au principe de transparence de l'art. 41 Cst-VD. d) L'autorité intimée, qui se fonde sur le fonctionnement et les rapports entre les différents organes communaux, paraît implicitement considérer que la transmission des écritures litigieuses serait susceptible de perturber sensiblement son fonctionnement et le processus de ses décisions ou de celles du Conseil communal (cf. art. 16 al. 2 let. a LInfo). Tel ne paraît cependant pas être le cas, aucun risque spécifique n'étant invoqué. En outre, des écritures liés à des opérations déjà intervenues, si elles peuvent susciter éventuellement des réactions ou des interrogations, ne portent pas sur l'activité courante de l'administration ou des organes communaux. Leur transmission n'est donc pas susceptible de perturber leur fonctionnement actuel. e) L'autorité intimée ne fait pas état d'intérêts privés prépondérants au sens de l'art. 16 al. 3 LInfo s'opposant à la transmission des informations demandées. Il est toutefois envisageable que les extraits des comptes requis contiennent des indications relatives aux entreprises auxquelles la Commune d'Yverdon a fait appel. Cela étant, il n'apparaît pas que ces indications puissent relever d'un secret ou d'une atteinte notable à la sphère privée qui justifierait le refus de transmission des extraits de compte. En effet, seuls les montants, les dates de paiement ou d'encaissement et l'identité du tiers devraient y figurer, soit des informations sommaires. La Cour de céans a d'ailleurs déjà accepté la transmission de la facture relative aux services d'un expert privé, qui contenait uniquement l'indication du montant total du coût des prestations sans aucune indication quant aux modalités du calcul du prix (arrêt CDAP GE.2020.0038 du 14 décembre 2020 consid. 6c), situation similaire à celle en cause. f) Au vu de ce qui précède, rien ne s'oppose à la transmission des écritures comptables requises par le recourant.</w:t>
      </w:r>
    </w:p>
    <w:p>
      <w:r>
        <w:rPr>
          <w:b/>
        </w:rPr>
        <w:t>E. 7</w:t>
      </w:r>
    </w:p>
    <w:p>
      <w:r>
        <w:t>Il résulte de ce qui précède que le recours doit être admis et la décision attaquée annulée. La cause sera renvoyée à l'autorité intimée pour qu'elle communique les informations demandées pour les années 2019, 2020 et 2021. L'autorité intimée devra également examiner au regard de l'art. 16 al. 4 et 5 LInfo si les informations personnelles, en particulier le nom, des personnes mentionnées dans les documents à transmettre doivent faire l'objet d'une anonymisation.</w:t>
      </w:r>
    </w:p>
    <w:p>
      <w:r>
        <w:rPr>
          <w:b/>
        </w:rPr>
        <w:t>E. 8</w:t>
      </w:r>
    </w:p>
    <w:p>
      <w:r>
        <w:t>La procédure est gratuite de sorte qu'il n'y a pas lieu de percevoir un émolument (art. 27 al. 1 LInfo). Le recourant, qui a agi seul, n'a pas droit à des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