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GE.2022.0020 vom 30. März 2022</w:t>
      </w:r>
    </w:p>
    <w:p>
      <w:r>
        <w:t>VD Tribunal cantonal, 2022-03-30, FR</w:t>
      </w:r>
    </w:p>
    <w:p>
      <w:r>
        <w:rPr>
          <w:b/>
        </w:rPr>
        <w:t xml:space="preserve">Quelle: </w:t>
      </w:r>
      <w:r>
        <w:t>https://mcp.opencaselaw.ch/entscheid/vd_omni_GE.2022.0020</w:t>
      </w:r>
    </w:p>
    <w:p>
      <w:r>
        <w:t>FR: VD_OMNI GE.2022.0020 du 30 mars 2022</w:t>
      </w:r>
    </w:p>
    <w:p>
      <w:r>
        <w:t>IT: VD_OMNI GE.2022.0020 del 30 marzo 2022</w:t>
      </w:r>
    </w:p>
    <w:p>
      <w:pPr>
        <w:pStyle w:val="Heading2"/>
      </w:pPr>
      <w:r>
        <w:t>Regeste</w:t>
      </w:r>
    </w:p>
    <w:p>
      <w:r>
        <w:t>A.________/Commission de recours de l'Université de Lausanne, Université de Lausanne Direction, Direction de l'Ecole de médecine, Commission de recours de l'Ecole de médecine, Service des Immatriculations et Inscriptions de l'Université de | Recours contre un refus de mesures provisionnelles déposé par un étudiant recourant contre son échec défintif à la maîtrise en médecine. Confirmation du refus de délivrer au recourant la maîtrise en médecine avant que la cause ne soit tranchée sur le fond. Rejet également de la demande par le recourant du maintien de son immatriculation au-delà du 31 janvier 2022. Rappel du fait qu'une décision d'exmatriculation ne peut déployer tous ses effets tant qu'un recours est encore pendant contre une décision d'échec définitif. L'UNIL ne pourrait ainsi pas se prévaloir du fait que le recourant n'est plus immatriculé pour refuser la délivrance de son titre de maîtrise. On voit donc pas quel serait le préjudice que le maintien de l'immatriculation devrait empêcher.</w:t>
      </w:r>
    </w:p>
    <w:p>
      <w:pPr>
        <w:pStyle w:val="Heading2"/>
      </w:pPr>
      <w:r>
        <w:t>Erwägungen</w:t>
      </w:r>
    </w:p>
    <w:p>
      <w:r>
        <w:rPr>
          <w:b/>
        </w:rPr>
        <w:t>E. 1</w:t>
      </w:r>
    </w:p>
    <w:p>
      <w:r>
        <w:t>Le présent recours est dirigé contre la décision de la Vice-présidente de la CRUL, rejetant la requête de mesures provisionnelles présentée par le recourant. Aux termes de l'art. 83 de la loi du 6 juillet 2004 sur l'Université de Lausanne (LUL; BLV 414.11), dans les dix jours dès leur notification, les décisions des facultés peuvent faire l'objet d'un recours auprès de la Direction, celles prises par la Direction d'un recours à la Commission de recours. D'après l'art. 84 al. 3 LUL, la loi vaudoise du 28 octobre 2008 sur la procédure administrative (LPA-VD; BLV 173.36) est applicable à la procédure devant la Commission de recours. Selon l'art. 9 du règlement du 13 mars 2007 de la Commission de recours de l'Université de Lausanne (RCRUL; http://www.unil.ch./recours/fr/home/menuinst/textes-legaux.html), le Président décide des mesures d'instruction préliminaire. S'il y a lieu, il statue sur l'effet suspensif et décide des mesures provisionnelles. Aucun recours à un organe interne de l'UNIL contre les décisions sur mesures provisionnelles du Président de la CRUL n'est prévu par la réglementation spéciale. Le présent recours relève dès lors de la compétence du Tribunal cantonal conformément à la clause générale prévue par l'art. 92 al. 1 LPA-VD, singulièrement de la compétence de la cour de céans en application de l'art. 27 al. 1 du règlement organique du Tribunal cantonal, du 13 novembre 2007 (ROTC; BLV 173.31.1). A teneur de l'art. 74 al. 3 LPA-VD, applicable par analogie au recours au Tribunal cantonal par renvoi de l'art. 99 LPA-VD, les décisions incidentes qui portent sur des mesures provisionnelles sont séparément susceptibles de recours. Déposé dans les formes et délai légaux (cf. art. 79, 95 et 99 LPA-VD), le recours est ainsi recevable. Il y a donc lieu d'entrer en matière.</w:t>
      </w:r>
    </w:p>
    <w:p>
      <w:r>
        <w:rPr>
          <w:b/>
        </w:rPr>
        <w:t>E. 2</w:t>
      </w:r>
    </w:p>
    <w:p>
      <w:r>
        <w:t>a) Dans son recours, le recourant a formulé une demande de mesures d'instruction portant sur les éléments suivants: "A.- Réquisition de production des pièces suivantes: La remise complète du dossier de la cause du recourant auprès de l'Ecole de médecine, au conseil soussigné, y compris tous les échanges d'emails entre les différents représentants et membres de l'Ecole de médecine. La production par Monsieur le Professeur B.________ des pièces suivantes:</w:t>
      </w:r>
    </w:p>
    <w:p>
      <w:r>
        <w:rPr>
          <w:b/>
        </w:rPr>
        <w:t>E. 2.1</w:t>
      </w:r>
    </w:p>
    <w:p>
      <w:r>
        <w:t>Tous échanges d'emails entre le Professeur B.________ et les différents représentants de l'Ecole de médecine au sujet du recourant, depuis le 1 er juin 2020 jusqu'à et y compris ce jour.</w:t>
      </w:r>
    </w:p>
    <w:p>
      <w:r>
        <w:rPr>
          <w:b/>
        </w:rPr>
        <w:t>E. 2.2</w:t>
      </w:r>
    </w:p>
    <w:p>
      <w:r>
        <w:t>Tous emails écrits adressés par le Professeur B.________ à l'Ecole de médecine, pour annoncer le TM du recourant à l'Ecole, notamment pour faire enregistrer ce travail sur la plate-forme de l'Ecole.</w:t>
      </w:r>
    </w:p>
    <w:p>
      <w:r>
        <w:rPr>
          <w:b/>
        </w:rPr>
        <w:t>E. 2.3</w:t>
      </w:r>
    </w:p>
    <w:p>
      <w:r>
        <w:t>Toutes pièces établissant les mesures prises par le Tuteur B.________ pour s'assurer de la collaboration d'un expert à partir de juin 2020.</w:t>
      </w:r>
    </w:p>
    <w:p>
      <w:r>
        <w:rPr>
          <w:b/>
        </w:rPr>
        <w:t>E. 2.4</w:t>
      </w:r>
    </w:p>
    <w:p>
      <w:r>
        <w:t>Toutes pièces attestant les mesures prises par le Tuteur B.________ pour s'assurer de l'autorisation de la Commission d'éthique.</w:t>
      </w:r>
    </w:p>
    <w:p>
      <w:r>
        <w:rPr>
          <w:b/>
        </w:rPr>
        <w:t>E. 2.5</w:t>
      </w:r>
    </w:p>
    <w:p>
      <w:r>
        <w:t>Toutes pièces démontrant que le Professeur B.________ a établi un échéancier avec le recourant pour le suivi de son TM à partir de juin 2020.</w:t>
      </w:r>
    </w:p>
    <w:p>
      <w:r>
        <w:rPr>
          <w:b/>
        </w:rPr>
        <w:t>E. 2.6</w:t>
      </w:r>
    </w:p>
    <w:p>
      <w:r>
        <w:t>Toutes pièces démontrant que le Tuteur B.________ a contacté le recourant depuis le 17 juin 2020, pour prendre des nouvelles de son état de santé, et/ ou pour lui demander à quoi il en était de son TM, et/ou pour lui rappeler les échéances. Production par l'Ecole de médecine de tous les dossiers des étudiants de 3ème année de maîtrise en médecine du semestre du printemps 2021, avec tous les TM, les dates de remise de chacune des versions finales des TM; et les dates de chacune des soutenances au cours du semestre du printemps 2021. B.- Le recourant a l'honneur de requérir la fixation d'une audience, pour que le recourant puisse faire entendre notamment le Tuteur E.________ au sujet de son travail et sur les conditions de validation de la maîtrise". Dans son écriture spontanée du 14 mars 2022, le recourant a encore demandé à pouvoir consulter le dossier de la CRUL et les dossiers des instances précédentes qu'il doit comprendre. Il a aussi réitéré sa requête de fixation d'audience. b) La procédure devant la CDAP est en principe écrite (art. 27 LPA-VD). Les art. 33 ss LPA-VD concrétisent dans la loi les garanties consacrées aux art. 29 al. 2 de la Constitution fédérale de la Confédération suisse du 18 avril 1999 (Cst.; RS 101) et 27 al. 2 de la Constitution du canton de Vaud du 14 avril 2003 (Cst.-VD; BLV 101.01; Bovay / Blanchard / Grisel Rapin, Procédure administrative vaudoise, LPA-VD annotée, Bâle 2012, rem. 1.1 ad art. 33).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68 consid. 9.6.1, 285 consid. 6.3.1; 134 I 140 consid. 5.3; 131 I 153 consid. 3; 130 II 425 consid. 2.1). c) En l’occurrence, le tribunal doit se prononcer uniquement prima facie sur le chances de succès du recours (cf. consid. 3 ci-après). Il serait ainsi prématuré de tenir à ce stade déjà une audience publique et d'ordonner la production de pièces relatives aux questions de fond, ceci d'autant plus que le dossier est déjà bien fourni et permet une appréciation correcte des enjeux. Le tribunal s’estime ainsi suffisamment renseigné par le dossier, de sorte qu'une audience n'apparaît ni nécessaire, ni propre à influencer le sort de la cause, pas plus que la production de pièces supplémentaires. Pour le surplus, l'art. 6 par. 1 de la Convention de sauvegarde des droits de l’homme et des libertés fondamentales du</w:t>
      </w:r>
    </w:p>
    <w:p>
      <w:r>
        <w:rPr>
          <w:b/>
        </w:rPr>
        <w:t>E. 4</w:t>
      </w:r>
    </w:p>
    <w:p>
      <w:r>
        <w:t>du tarif du 28 avril 2015 des frais judiciaires et des dépens en matière administrative [TFJDA; BLV 173.36.5.1]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