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GE.2021.0175 vom 12. Dezember 2022</w:t>
      </w:r>
    </w:p>
    <w:p>
      <w:r>
        <w:t>VD Tribunal cantonal, 2022-12-12, FR</w:t>
      </w:r>
    </w:p>
    <w:p>
      <w:r>
        <w:rPr>
          <w:b/>
        </w:rPr>
        <w:t xml:space="preserve">Quelle: </w:t>
      </w:r>
      <w:r>
        <w:t>https://mcp.opencaselaw.ch/entscheid/vd_omni_GE.2021.0175</w:t>
      </w:r>
    </w:p>
    <w:p>
      <w:r>
        <w:t>FR: VD_OMNI GE.2021.0175 du 12 décembre 2022</w:t>
      </w:r>
    </w:p>
    <w:p>
      <w:r>
        <w:t>IT: VD_OMNI GE.2021.0175 del 12 dicembre 2022</w:t>
      </w:r>
    </w:p>
    <w:p>
      <w:pPr>
        <w:pStyle w:val="Heading2"/>
      </w:pPr>
      <w:r>
        <w:t>Regeste</w:t>
      </w:r>
    </w:p>
    <w:p>
      <w:r>
        <w:t>A.________/Municipalité de Lausanne Secrétariat municipal, Direction générale de la mobilité et des routes | Recours d'une société exploitant un parking contre les décisions de la municipalité de Lausanne modifiant le régime de stationnement ainsi que la signalisation sur plusieurs voies publiques en lien avec les travaux de réfection du Grand-Pont. La majorité des clients du parking administré par la recourante venant de l'ouest en empruntant l'avenue Tivoli, leur parcours n'est pas directement impacté par la mesure litigieuse. Ainsi, il est difficile de voir en quoi l'accès et l'attractivité de ces lieux seraient péjorés par les mesures contenues dans la décision querellée et les intérêts économiques de la recourante touchés de manière sensible. La recourante ne saurait dès lors retirer un avantage pratique direct et concret de l'annulation de la décision attaquée. Recours irrecevable.</w:t>
      </w:r>
    </w:p>
    <w:p>
      <w:pPr>
        <w:pStyle w:val="Heading2"/>
      </w:pPr>
      <w:r>
        <w:t>Erwägungen</w:t>
      </w:r>
    </w:p>
    <w:p>
      <w:r>
        <w:rPr>
          <w:b/>
        </w:rPr>
        <w:t>E. 1</w:t>
      </w:r>
    </w:p>
    <w:p>
      <w:r>
        <w:t>La Cour de droit administratif et public examine d'office et librement la recevabilité des recours qui lui sont soumis. En l'occurrence, la municipalité soutient que le présent recours est irrecevable car la recourante n'aurait pas qualité pour former recours. a) Aux termes de l'art. 75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Devant la cour de céans, la qualité pour recourir de personnes exerçant une activité commerciale (ou habitant) dans une rue concernée (directement ou indirectement) par des mesures de signalisation a notamment été admise au motif que ces mesures étaient susceptibles d'avoir des effets directs sur leur activité économique (CDAP GE.2013.0222 du 20 janvier 2015 consid. 1b, s'agissant de la mise à sens unique d'un axe routier et de la suppression de places de stationnement) ou encore qu'il en résulterait une augmentation du trafic et du bruit (arrêt GE.2011.0039 précité, consid. 2c; cf. ég. consid. 2b, précisant que, d'une façon générale, les riverains de la route qui subiraient une nouvelle charge de trafic plus importante en raison de la signalisation litigieuse peuvent à ce titre se prévaloir d'un intérêt digne de protection). Dans un arrêt GE.2009.0056 du 27 janvier 2010, il a en outre été retenu que des particuliers domiciliés le long d'un chemin qu'ils utilisaient à la fois comme accès pour les véhicules à leur propriété et comme accès piétonnier étaient à ce titre " directement touchés par une mesure de signalisation qui pourrait avoir une aggravation sur la sécurité des piétons " (consid. 1c). c) En l'espèce, la recourante fonde son intérêt digne de protection sur trois mesures prises en lien avec la réfection du Grand-Pont, à savoir la suppression de la possibilité d'obliquer à gauche depuis le carrefour où se relient le Pont Chauderon et l'avenue Jules-Gonin, l'éventuelle suppression similaire qui se situerait en haut de l'avenue Jean-Jacques-Mercier et, enfin, la suppression de la présélection située sur l'avenue Jules-Gonin permettant l'accès au parking ainsi qu'à la station-service gérés par la recourante. Ces différentes restrictions auraient un impact direct et important sur la fréquentation du parking et de la station-service et, de ce fait, sur le chiffre d'affaires de la recourante. À titre liminaire, il sied de relever que l'interdiction d'obliquer à gauche à la sortie sud du Pont Chauderon en direction de l'avenue Jules-Gonin est la seule mesure contenue dans la décision querellée. En revanche, l'interdiction d'obliquer à gauche depuis l'avenue Jean-Jacques-Mercier sur l'avenue Jules-Gonin, bien qu'adoptée par la municipalité le 12 août 2021, n'a pas fait l'objet d'une publication dans la FAO du 24 août 2021. Or, cette publication est en principe indispensable pour qu'une mesure de signalisation routière puisse être contestée (cf. art. 1 et 2 du règlement du 7 février 1979 sur la signalisation routière [RVSR; BLV 741.01.2]). Certes, selon le procès-verbal de la séance de la municipalité du 12 août 2021 (pièce 104 du bordereau de la municipalité du dossier GE.2021.0175), la municipalité a d'ores et déjà autorisé cette mesure " si, cela s'avère nécessaire après monitoring de la situation ". Quoi qu'il en soit, cette mesure de signalisation n'est pas concernée par la décision attaquée puisqu'elle n'est pas susceptible d'être immédiatement mise en œuvre. Il en va de même de la suppression de la présélection permettant d'entrer dans le parking qui n'est nullement partie intégrante de la décision contestée dans le cadre du présent recours. Quand bien même elle le serait, il est douteux qu'elle puisse servir de fondement à la qualité pour recourir de la recourante, la suppression de la présélection en cause (simple marquage sur la route) ne signifiant nullement l'interdiction d'obliquer en direction du parking ou de la station-service. Dans la mesure où la recourante ne pourrait obtenir, par l'annulation de ladite décision, que la suppression de l'interdiction d'obliquer à gauche depuis la sortie sud du Pont Chauderon, sa qualité pour recourir doit s'apprécier à l'aune de cette seule mesure qui forme l'objet du présent litige. Il y a ainsi lieu d'évaluer l'impact de la mesure précitée sur les intérêts privés de la recourante. On relève ainsi que l'interdiction d'obliquer à gauche à la sortie sud du Pont Chauderon n'empêche pas les automobilistes d'accéder au parking et à la station-service exploités par la recourante. En effet, il leur suffit d'emprunter l'îlot de contournement via l'avenue Louis-Ruchonnet, ce qui constitue un rallongement modeste du temps de parcours, de l'ordre de 3 à 5 minutes, pour une distance supplémentaire à parcourir d'un peu plus de 200 mètres; une signalisation ad hoc a ainsi été ajoutée pour indiquer aux automobilistes la possibilité d'accéder au parking de la recourante en passant par ce détour. On relèvera également que les mesures d'accompagnement mises en place en lien avec les travaux de réfection du Grand-Pont doivent induire une augmentation de l'ordre de 5% du trafic motorisé sur l'avenue Jules-Gonin ce qui, en somme, revient à augmenter le nombre de véhicules passant devant le parking et la station-service gérés par la recourante, preuve que leur accès n'est pas entravé par la mesure litigieuse. De plus, ainsi que déjà souligné dans l'arrêt RE.2021.0005, la majorité des clients du parking administré par la recourante viennent de l'ouest en empruntant l'avenue Tivoli ; leur parcours n'est donc pas directement impacté par la mesure litigieuse. Au vu de l'ensemble de ces éléments, il est difficile de voir en quoi l'accès et l'attractivité de ces lieux seraient péjorés par les mesures contenues dans la décision querellée et les intérêts économiques de la recourante touchés de manière sensible. La recourante ne saurait dès lors retirer un avantage pratique direct et concret de l'annulation de la décision attaquée. De surcroît, les mesures prises dans le cadre des travaux de réfection du Grand-Pont exerceront une influence significative sur la circulation routière dans l'ensemble du centre-ville de Lausanne et non pas uniquement sur l'avenue Jules-Gonin. Dans ce contexte, la recourante n’est pas directement touchée dans un intérêt personnel, comme le serait par exemple l’exploitant d’un restaurant privé de la possibilité de laisser ses clients stationner sur un parking attenant à l’établissement. En effet, tous les usagers du centre-ville – les habitants tout comme les clients, employés et gérants des commerces – seront touchés dans leurs possibilités de déplacement et de stationnement. Le tribunal constate à cet égard que la recourante n'apporte aucun élément démontrant qu'elle serait touchée d'une manière particulièrement plus sensible que les autres administrés par les mesures contenues dans la décision querellée, condition pourtant sine qua non à sa qualité pour recourir. La recourante invoque plutôt un intérêt général, comme peuvent le faire tous les commerçants du centre-ville dont une partie de la clientèle se déplace en automobile, car on ne peut pas voir un lien direct entre les mesures de signalisation contestées et l’évolution du chiffre d’affaires. Par voie de conséquence, la recourante ne dispose pas d’un intérêt digne de protection à l'annulation de la décision attaquée, la privant de la qualité pour recourir. Pour ce motif, le recours doit être déclaré irrecevable.</w:t>
      </w:r>
    </w:p>
    <w:p>
      <w:r>
        <w:rPr>
          <w:b/>
        </w:rPr>
        <w:t>E. 2</w:t>
      </w:r>
    </w:p>
    <w:p>
      <w:r>
        <w:t>Vu l'issue de la cause, les frais de justice sont mis à la charge de la recourante (art. 49 al. 1 LPA-VD). La Commune de Lausanne qui a agi par l'intermédiaire d'un avocat, a droit à une 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