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GE.2021.0115 vom 3. Mai 2022</w:t>
      </w:r>
    </w:p>
    <w:p>
      <w:r>
        <w:t>VD Tribunal cantonal, 2022-05-03, FR</w:t>
      </w:r>
    </w:p>
    <w:p>
      <w:r>
        <w:rPr>
          <w:b/>
        </w:rPr>
        <w:t xml:space="preserve">Quelle: </w:t>
      </w:r>
      <w:r>
        <w:t>https://mcp.opencaselaw.ch/entscheid/vd_omni_GE.2021.0115</w:t>
      </w:r>
    </w:p>
    <w:p>
      <w:r>
        <w:t>FR: VD_OMNI GE.2021.0115 du 3 mai 2022</w:t>
      </w:r>
    </w:p>
    <w:p>
      <w:r>
        <w:t>IT: VD_OMNI GE.2021.0115 del 3 maggio 2022</w:t>
      </w:r>
    </w:p>
    <w:p>
      <w:pPr>
        <w:pStyle w:val="Heading2"/>
      </w:pPr>
      <w:r>
        <w:t>Regeste</w:t>
      </w:r>
    </w:p>
    <w:p>
      <w:r>
        <w:t>A._________/Municipalité de Lausanne, Direction générale de la mobilité et des routes DGMR | Personne morale propriétaire d'un immeuble abritant des locaux loués à différentes entreprises, qui conteste la suppression d'une place de stationnement au profit de huit places de vélos. Qualité pour recourir déniée: la mesure attaquée, qui n'engendre qu'une perte de 0.15% de l'offre publique totale en matière de stationnement dans le quartier, n'empêche pas l'utilisation de son immeuble ni ne le rend plus difficile. Recours irrecevable.</w:t>
      </w:r>
    </w:p>
    <w:p>
      <w:pPr>
        <w:pStyle w:val="Heading2"/>
      </w:pPr>
      <w:r>
        <w:t>Erwägungen</w:t>
      </w:r>
    </w:p>
    <w:p>
      <w:r>
        <w:rPr>
          <w:b/>
        </w:rPr>
        <w:t>E. 1</w:t>
      </w:r>
    </w:p>
    <w:p>
      <w:r>
        <w:t>La Cour de droit administratif et public du Tribunal cantonal examine d'office et librement la recevabilité des recours qui lui sont soumis. a) Aux termes de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d'appliquer ce critère en tenant compte de la jurisprudence du Tribunal fédéral (TF) dans le cadre du recours en matière de droit public (principe de l'unité de la procédure, cf. art. 111 al. 1 LTF). Selon la jurisprudence,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(cf. ATF 144 I 43 consid. 2.1; 139 II 499 consid. 2.2; ATF 137 II 30 consid. 2.2.3 et les références). Cela signifie que le recours d'un particulier formé dans l'intérêt d'un tiers ou dans l'intérêt général est exclu (cf. arrêt GE.2020.0226 du 30 mars 2021 consid. 1b et les références).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Tel peut notamment être le cas si l'accès est rendu plus difficile (cf. notamment ATF 136 II 539 consid. 1, qui reconnaît la qualité pour recourir aux pendulaires dans une contestation relative à l'instauration d'une zone 30 sur une route de grand transit traversant une ville de 11'000 habitants; cf. aussi TF 1C_110/2020 du 26 novembre 2020 à propos de la création d'une zone de rencontre). Des restrictions du stationnement ou la suppression de places de parc (publiques) peuvent également constituer une atteinte spécifique, quand elles empêchent l'utilisation d'un immeuble ou la rendent sensiblement plus difficile pour les riverains propriétaires ou la clientèle (cf. TF 2A.115/2007 du 14 août 2007 consid. 3 et 2A.70/2007 du 9 novembre 2007 consid. 2.2). b) En l'espèce, la mesure litigieuse consiste en la suppression d'une place de stationnement pour véhicule à la rue ********, afin d'y créer huit places pour vélos. Certes, cette place se situe à proximité (environ 80 mètres) de l'immeuble propriété de la recourante, qui abrite des locaux loués à différentes entreprises. Toutefois, comme l'autorité intimée le relève, plusieurs autres solutions de parcage (et pour certaines à distance moindre) existent dans le quartier. Selon les indications fournies, 365 places de stationnements publiques, dont 247 sont ouvertes aux autorisations de stationnement prolongé (macarons), sont ainsi disponibles dans un rayon de 300 mètres autour de l'immeuble de la recourante. Par ailleurs, le parking collectif de ********, qui est accessible au public et offre 323 places de parcage, se trouve dans les environs. On relève en outre que la mesure litigieuse permettra la création de huit places de stationnement pour vélos et que des solutions de transports publics sont disponibles à proximité. Au regard de ces éléments, on ne saurait retenir que la mesure attaquée, qui n'engendrera qu'une perte de 0.15% de l'offre publique totale en matière de stationnement dans le quartier, empêchera pour la recourante, respectivement ses locataires, l'utilisation de son immeuble ou la rendra sensiblement plus difficile. L'impact pour l'intéressée de la suppression de la place de stationnement prévue doit être considéré comme minime, ce qui ne suffit pas pour fonder la qualité pour recourir au sens de l'art. 75 let. a LPA-VD. A lire ses arguments sur le fond, la recourante semble du reste plutôt s'opposer à la suppression à grande échelle de places de stationnement dans le centre-ville de Lausanne. Or il s'agit là d'un intérêt de nature générale, pour la défense duquel le recours en matière administrative est exclu (cf. jurisprudence rappelée ci-dessus). La qualité pour recourir de la recourante doit par conséquent être niée.</w:t>
      </w:r>
    </w:p>
    <w:p>
      <w:r>
        <w:rPr>
          <w:b/>
        </w:rPr>
        <w:t>E. 2</w:t>
      </w:r>
    </w:p>
    <w:p>
      <w:r>
        <w:t>Il s'ensuit que le recours est irrecevable. La recourante, qui succombe, supportera les frais de justice (cf. art. 49 al. 1 LPA-VD). La Commune de Lausanne, qui a procédé seule sans l'assistance d'un mandataire professionnel, n'a pas droit à l'allocation de dépens (cf. art. 10 a contrario du tarif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