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GE.2021.0091 vom 8. Dezember 2021</w:t>
      </w:r>
    </w:p>
    <w:p>
      <w:r>
        <w:t>VD Tribunal cantonal, 2021-12-08, FR</w:t>
      </w:r>
    </w:p>
    <w:p>
      <w:r>
        <w:rPr>
          <w:b/>
        </w:rPr>
        <w:t xml:space="preserve">Quelle: </w:t>
      </w:r>
      <w:r>
        <w:t>https://mcp.opencaselaw.ch/entscheid/vd_omni_GE.2021.0091</w:t>
      </w:r>
    </w:p>
    <w:p>
      <w:r>
        <w:t>FR: VD_OMNI GE.2021.0091 du 8 décembre 2021</w:t>
      </w:r>
    </w:p>
    <w:p>
      <w:r>
        <w:t>IT: VD_OMNI GE.2021.0091 del 8 dicembre 2021</w:t>
      </w:r>
    </w:p>
    <w:p>
      <w:pPr>
        <w:pStyle w:val="Heading2"/>
      </w:pPr>
      <w:r>
        <w:t>Regeste</w:t>
      </w:r>
    </w:p>
    <w:p>
      <w:r>
        <w:t>A.________ /Ministère public de l'arrondissement de Lausanne, B.________ | Recours d'un conducteur responsable d'un accident de la circulation qui s'oppose à la transmission du rapport de police à l'assureur responsabilité civile du véhicule qu'il conduisait. La CDAP (et pas la CREP) est compétente pour statuer sur le recours dès lors que le Ministère public a rendu sa décision relative à la transmission d'une pièce d'un dossier archivé non pas en tant qu'autorité de poursuite pénale, mais comme une autorité administrative (consid. 1). Pour les procédures pénales closes, le traitement des données, la procédure et les voies de droit sont régies par les dispositions fédérales et cantonales sur la protection des données (consid. 2b). Dans le cas d'espèce, le recourant n'établit aucun intérêt privé prépondérant lui permettant de s'opposer à la communication du rapport requis; au contraire, l'assureur dispose manifestement d'un intérêt à pouvoir déterminer les éventuelles prestations qu'il devrait verser en lien avec l'accident (consid. 2c). Recours rejeté.</w:t>
      </w:r>
    </w:p>
    <w:p>
      <w:pPr>
        <w:pStyle w:val="Heading2"/>
      </w:pPr>
      <w:r>
        <w:t>Erwägungen</w:t>
      </w:r>
    </w:p>
    <w:p>
      <w:r>
        <w:rPr>
          <w:b/>
        </w:rPr>
        <w:t>E. 1</w:t>
      </w:r>
    </w:p>
    <w:p>
      <w:r>
        <w:t>La décision attaquée a été rendue par le Ministère public non pas comme autorité de poursuite pénale, mais comme autorité administrative. En effet, la décision litigieuse se rapporte au droit de consulter une pièce du dossier d'une procédure pénale close et archivée, mais n'a pas été rendue à proprement parler dans le cadre d'une procédure pénale; la procédure applicable est par conséquent celle de la loi vaudoise du 28 octobre 2008 sur la procédure administrative (LPA-VD; BLV 173.36) (cf. ATF 136 I 80 c. 1.1; arrêts TF 1C_13/2016 du 18 avril 2016 consid. 1; 1C_127/2015 du 7 juillet 2015 consid. 1). Conformément à l'art. 92 LPA-VD, la CDAP, à laquelle la CREP a transmis d'office le recours, est compétente. Interjeté dans le délai utile (art. 95 LPA-VD), le mémoire respecte au surplus les conditions formelles énoncées notamment à l’art. 79 LPA-VD, applicable par renvoi de l’art. 99 LPA-VD. Partant, il convient d’entrer en matière sur le recours.</w:t>
      </w:r>
    </w:p>
    <w:p>
      <w:r>
        <w:rPr>
          <w:b/>
        </w:rPr>
        <w:t>E. 2</w:t>
      </w:r>
    </w:p>
    <w:p>
      <w:r>
        <w:t>al. 2 let. c de la loi fédérale du 19 juin 1992 sur la protection des données (LPD; RS 235.1), qui dispose que la loi ne s’applique pas sur le plan fédéral " aux procédures pendantes civiles, pénales, d’entraide judiciaire internationale ainsi que de droit public et de droit administratif, à l’exception des procédures administratives de première instance ". Le moment auquel une procédure est ouverte et celui auquel celle-ci se termine marquent le début et la fin de l’application de la loi spéciale de procédure en lieu et place de la LPrD (GE.2011.0181 du 1 er mai 2012 consid. 2b; GE.2011.0034 du 2 mai 2011 consid. 2). L'art. 3 al. 2 LPrD dispose que sont soumis à la LPrD le Grand Conseil, le Conseil d'Etat et son administration, l'Ordre judiciaire et son administration, la Cour des comptes, les communes ainsi que les ententes, associations, fédérations, fractions et agglomérations de communes et les personnes physiques ou morales auxquelles le canton ou une commune confie des tâches publiques, dans l'exécution desdites tâches. Le Ministère public n'est pas expressément nommé parmi les entités cantonales auxquelles s'appliquent la LPrD, mais il ne fait aucun doute qu'il y est soumis compte tenu de la ratio legis de cette loi. Dans l'Exposé des motifs et projet de loi (EMPL) sur la protection des données personnelles, il est précisé que la LPrD s'applique à tous les services de l'Etat, aux communes ainsi qu'aux corporations et établissements de droit public, seules étant soustraites du champ d'application de la loi les procédures civiles, pénales et administratives, la LPrD ne s'appliquant qu'avant et après les procédures en question (cf. Bulletin du Grand Conseil 2007-2012, Tome 1 Conseil d'Etat, p. 119 ss, spécialement p. 144 à 146). Constitue une donnée personnelle toute information qui se rapporte à une personne identifiée ou identifiable (art. 4 al. 1 ch. 1 LPrD); constitue une donnée sensible, toute donnée personnelle se rapportant notamment à la sphère intime de la personne, en particulier à son état psychique, mental ou physique et aux poursuites ou sanctions pénales et administratives (art. 4 al. 1 ch. 2 LPrD). Par traitement de données personnelles, on entend toute opération ou ensemble d’opérations effectuées ou non à l’aide de procédés automatisés et appliqués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Et par communication, on entend le fait de rendre des données accessibles, notamment de les transmettre, les publier, autoriser leur consultation ou fournir des renseignements (art. 4 al. 1 ch. 6 LPrD). Enfin, l'art. 15 al. 1 LPrD prévoit ce qui suit: "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 . Conformément à l’art. 28 LPrD, toute personne a le droit de s’opposer à ce que les données personnelles la concernant soient communiquées, si elle rend vraisemblable un intérêt digne de protection (al. 1). c) Dans le cas d'espèce, les informations figurant dans le rapport de police relatif à l’accident du 3 juin 2020 contiennent à l’évidence des données personnelles, au sens de l’art. 4 LPrD, concernant le recourant ainsi que la personne qui était passagère du véhicule lors de l’accident. Dans son courrier du 23 mars 2021, B.________ a motivé sa demande de consultation du rapport de police par le fait qu’elle était l’assureur responsabilité civile du véhicule que conduisait le recourant lors de l’accident du 3 juin 2020. B.________ dispose, en cette qualité, d’un intérêt prépondérant à la communication du rapport de police en cause primant celui du recourant à ce que les données le concernant ne soient pas communiquées. Le document en cause est en effet nécessaire à la compagnie d'assurance pour déterminer les éventuelles prestations qu’elle pourrait devoir verser. Il lui est également indispensable pour évaluer si, en fonction des circonstances de l’accident du 3 juin 2020, elle pourrait être amenée à se retourner contre le recourant ou un tiers, voire décider d’apporter des modifications au contrat assurant le véhicule en cause. L’intérêt pécuniaire du tiers intéressé est dès lors manifeste. Le recourant se contente de son côté de s’opposer à la transmission du rapport de police litigieux à B.________ en n'invoquant qu’un motif de confidentialité. Il ne développe toutefois aucunement en quoi il aurait un tel intérêt à la confidentialité. Il ne rend pas vraisemblable au sens de l’art. 28 al. 1 LPrD l’existence d’un intérêt digne de protection qui lui permettrait de s’opposer à la communication au tiers intéressé du rapport de police en cause, et donc des données personnelles le concernant qui s’y trouvent. Dans son recours, l’intéressé fait valoir qu’avant sa condamnation, le rapport de police était à la disposition de B.________ pendant plusieurs semaines et que celle-ci n’aurait pas fait usage de son droit de le consulter. Cet élément n’est pas déterminant. Conformément à la règlementation applicable (cf. art. 99 CPP et LPrD), le tiers intéressé dispose, même une fois la procédure pénale close, de la possibilité de demander à consulter un tel document contenant des données personnelles, voire sensibles, et de se la voir accorder si les conditions en sont remplies. La Directive n° 4.1 du Procureur général précitée mentionne au surplus expressément que " le droit d’accès est présumé lorsque l’accès aurait été accordé alors que la procédure était pendante". Le recourant n’a ainsi aucun intérêt digne de protection lui permettant de s’opposer à la communication à B.________ du rapport de police. Il est en revanche manifeste que cette dernière a un intérêt prépondérant à pouvoir accéder au rapport de police pour les motifs précités, dans la mesure en outre où tel aurait également pu être le cas, au sens de l’art. 101 al. 3 CPP, avant que la procédure ne soit close. d) L'application de la loi vaudoise du 24 septembre 2002 sur l'information a été évoquée (LInfo; BLV 170.21) notamment dans la décision de transmission de la cause à la CDAP par la CREP. Le recours à cette loi n'offrirait cependant aucune solution différente au recourant, la jurisprudence ayant clairement établi que lorsqu'une demande fondée sur la LInfo implique la communication de données personnelles, il y a lieu de se référer à la balance des intérêts prévue par l'art. 15 al. 1 LPrD (TF 1C_136/2019 du 4 décembre 2019 consid. 2.4; CDAP GE.2021.0145 du 3 novembre 2021 consid. 2a; GE.2021.00766 du 29 septembre 2021 consid. 2c).</w:t>
      </w:r>
    </w:p>
    <w:p>
      <w:r>
        <w:rPr>
          <w:b/>
        </w:rPr>
        <w:t>E. 3</w:t>
      </w:r>
    </w:p>
    <w:p>
      <w:r>
        <w:t>En définitive, le recours doit être rejeté et la décision du Ministère public de l'arrondissement de Lausanne du 7 mai 2021 autorisant la communication du rapport de police du 2 juillet 2020 à B.________ confirmée. Il conviendra toutefois que le Ministère public anonymise ledit rapport s'agissant des informations relatives à la passagère du véhicule accidenté, qui ne présentent aucun intérêt pour la compagnie d'assurance. Conformément à l'art. 33 al. 1 LPrD, la procédure est gratuite. Le recourant succombant, il n'y a pas lieu d'allouer de dépens (art. 55 al.1 LPA-VD et 10 du tarif des frais judiciaires et des dépens en matière administrative du 28 avril 2015 a contrario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