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GE.2021.0076 vom 29. September 2021</w:t>
      </w:r>
    </w:p>
    <w:p>
      <w:r>
        <w:t>VD Tribunal cantonal, 2021-09-29, FR</w:t>
      </w:r>
    </w:p>
    <w:p>
      <w:r>
        <w:rPr>
          <w:b/>
        </w:rPr>
        <w:t xml:space="preserve">Quelle: </w:t>
      </w:r>
      <w:r>
        <w:t>https://mcp.opencaselaw.ch/entscheid/vd_omni_GE.2021.0076</w:t>
      </w:r>
    </w:p>
    <w:p>
      <w:r>
        <w:t>FR: VD_OMNI GE.2021.0076 du 29 septembre 2021</w:t>
      </w:r>
    </w:p>
    <w:p>
      <w:r>
        <w:t>IT: VD_OMNI GE.2021.0076 del 29 settembre 2021</w:t>
      </w:r>
    </w:p>
    <w:p>
      <w:pPr>
        <w:pStyle w:val="Heading2"/>
      </w:pPr>
      <w:r>
        <w:t>Regeste</w:t>
      </w:r>
    </w:p>
    <w:p>
      <w:r>
        <w:t>A.________/Municipalité de Montreux | Rejet du recours contre le refus de la municipalité de transmettre une copie d'une ou de plusieurs pétitions non anonymisée. Le requérant ne fait valoir aucun intérêt privé prépondérant à la communication des noms et adresses des pétitionnaires, qui sont des données personnelles protégées par la LPrD. A cela s'ajoute que les pétitionnaires bénéficient de la garantie que l'exercice de leur droit ne leur porte pas préjudice.</w:t>
      </w:r>
    </w:p>
    <w:p>
      <w:pPr>
        <w:pStyle w:val="Heading2"/>
      </w:pPr>
      <w:r>
        <w:t>Erwägungen</w:t>
      </w:r>
    </w:p>
    <w:p>
      <w:r>
        <w:rPr>
          <w:b/>
        </w:rPr>
        <w:t>E. 1</w:t>
      </w:r>
    </w:p>
    <w:p>
      <w:r>
        <w:t>a) La requête initiale du recourant, comme la décision attaquée, se fonde sur la LInfo; une telle décision peut faire l’objet d’un recours de droit administratif au Tribunal cantonal, selon les art. 92 al. 1 de la loi du 28 octobre 2008 sur la procédure administrative (LPA-VD; BLV 173.36) et l’art. 27 LInfo (le régime de l’art. 21 LInfo n’étant pas applicable aux décisions qui, comme en l’espèce, émanent des autorités communales). b) Le recourant, dans sa réplique, invoque l’art. 34b de la loi du 26 février 1956 sur les communes (LC; BLV 175.11) relative au traitement des pétitions par le Conseil communal ou général ; cette disposition est d’ailleurs reprise à l’art. 110 du règlement du conseil communal de Montreux. A cet égard, il faut relever que la pétition n’a apparemment pas été remise au Conseil communal de Montreux, ni même à son bureau (sinon par le biais de l’information publique donnée par la municipalité, à propos de son adhésion à l’Appel de Pâques). Il en découle que la question des informations dont devrait disposer le Conseil communal (et/ou son bureau) ne fait, en l’état, pas l’objet de la présente procédure. Un éventuel conflit de compétences entre le conseil et la municipalité à ce sujet, qui n’est pas d’actualité en l’état non plus, relèverait de la compétence de la Cour constitutionnelle (art. 20 let. d de la loi du 5 octobre 2004 sur la juridiction constitutionnelle [LJC]; BLV 173.32). Par ailleurs, même si le droit de pétition s’inscrit dans le débat politique et qu’il présente de ce fait une certaine parenté avec les droits politiques, il n’en reste pas moins que la loi vaudoise du 19 mai 1989 sur l’exercice des droits politiques (LEDP; BLV 160.01) ne lui est pas applicable. A teneur de l’art. 1 de cette loi, en effet, celle-ci s’applique " aux élections et votations populaires ainsi qu’à l’exercice des droits d’initiative et de référendum, dans le canton et les communes ". Il résulte de cette disposition que l’exercice du droit de pétition n’entre pas dans le champ d’application de la LEDP. Pour le surplus, il n’est pas exclu de s’inspirer de certains principes de cette législation dans le contexte de l’exercice du droit de pétition, compte tenu de la nature quasi politique de ce dernier droit.</w:t>
      </w:r>
    </w:p>
    <w:p>
      <w:r>
        <w:rPr>
          <w:b/>
        </w:rPr>
        <w:t>E. 2</w:t>
      </w:r>
    </w:p>
    <w:p>
      <w:r>
        <w:t>L'alinéa 1 est également applicable aux informations transmises sur demande en vertu de la loi sur l'information.</w:t>
      </w:r>
    </w:p>
    <w:p>
      <w:r>
        <w:rPr>
          <w:b/>
        </w:rPr>
        <w:t>E. 3</w:t>
      </w:r>
    </w:p>
    <w:p>
      <w:r>
        <w:t>Par surabondance, il convient de prendre en considération divers aspects relatifs au droit de pétition. A teneur de l’art. 31 de la Constitution du 14 avril 2003 du canton de Vaud (Cst-VD; BLV 101.01), toute personne a le droit, sans encourir de préjudice, d’adresser une pétition aux autorités et de récolter des signatures à cet effet (al. 1); les autorités examinent les pétitions qui leur sont adressées, les autorités législatives et exécutives étant au surplus tenues d’y répondre (al. 2 ; voir à ce propos Christelle Luisier Brodard, Les droits fondamentaux, in : Pierre Moor édit., La constitution vaudoise du 14 avril 2003, p. 91 ss, spécialement p. 108 s.). On relève au passage que le droit de pétition est garanti également par le droit fédéral (art. 33 Cst.; le droit fédéral ne prévoit cependant pas d’obligation de réponse, contrairement à ce que prescrit la disposition vaudoise précitée). a) La question centrale en l’occurrence est de déterminer la portée de la règle conférant au pétitionnaire la garantie que l’exercice de son droit n’entraîne pour lui aucun préjudice. En substance, cet aspect apparaît d’un grand poids dans la garantie du droit de pétition (il était d’ailleurs présent dans d’anciennes réglementations déjà): il s’agit en l’occurrence d’interdire les mesures de représailles de l’autorité à laquelle la pétition est adressée envers les auteurs de la demande. Selon la doctrine, l’autorité ne doit pas non plus prendre à leur égard des mesures de dissuasion, en lien par exemple avec leur participation à la rédaction ou à la mise en circulation d’une pétition (on parle à cet égard de "chilling effect ") . On entend par préjudice au sens des deux règles précitées, entre autres, les sanctions ou les mesures disciplinaires prononcées en raison de la participation du pétitionnaire; les pressions exercées sur un fonctionnaire à raison des mêmes faits et le licenciement de ce dernier. Tel est le cas enfin, selon la doctrine, de la divulgation non autorisée de l’identité des pétitionnaires (sur tous ces points, voir CR Cst. [Commentaire romand de la Constitution fédérale]- Dubey/Di Cicco art. 33 N25 et les références ; voir aussi SGK BV [St-Gallen Kommentar der schweizerischen Bundesverfassung]- Steinmann, art. 33 Cst, N 11; voir enfin Malinverni/Hottelier/Flückiger, Droit constitutionnel II N 1505). Divers auteurs invoquent d’ailleurs à cet égard l’application par analogie des règles sur le secret du vote, valable dans le domaine des droits politiques (CR Cst.- Dubey/ Di Cicco, ibidem). La pratique de la Chancellerie fédérale va dans ce sens; en effet, elle transmet les pétitions au Département compétent pour en connaître sans les listes de signatures qui l’accompagnent (SGK BV-Steinmann, ibidem). Au demeurant, il apparaît parfaitement légitime de traiter les listes de signatures accompagnant les pétitions de la même manière que les listes de signatures relatives aux initiatives et aux référendums ; or, à cet égard, l’art. 64 al. 2 de la loi fédérale du 17 décembre 1976 sur les droits politiques (LDP; RS 161.1) prévoit une interdiction de consulter ces listes une fois qu’elles ont été déposées. Certes, le droit vaudois ne comporte pas de dispositions analogues à celles de l’art. 64 al. 2 LDP. Il n’en reste pas moins que l’autorité vaudoise d’application est habilitée, dans le cadre de l’application des textes ici pertinents (LInfo, LPrD et LEDP), à procéder à une pesée d’intérêts  et à conclure que celle-ci conduit au même résultat. b) A cet égard, le recourant relève que les noms des premiers signataires de l’Appel de Pâques ont été diffusés sur le site de ce dernier. D’ailleurs, cette publicité donnée aux signatures émanant de certaines personnalités confère une crédibilité accrue à cet appel (ou à la pétition ici en cause). Cependant, il faut en déduire essentiellement que les personnes dont les noms figurent sur le site précité ont donné leur consentement à la diffusion de leurs données personnelles. S’agissant des pétitionnaires de Montreux, on ne saurait retenir une telle présomption (autrement dit, l’art. 15 al. 1 let. d ou e LPrD ne saurait s’appliquer en l’occurrence). c) Au surplus, l’art. 16 al. 2 let. c LInfo n’exige nullement de l’autorité qu’elle s’adresse à chacun des pétitionnaires pour déterminer si ceux-ci acceptent de donner leur consentement à la révélation de leur identité, ce dans l’hypothèse où elle considère que des intérêts privés prépondérants s’opposent à la délivrance de l’information requise, sur la base de l’al. 3 de cette disposition (arrêt TF 1C_136/2019 précité consid. 2.4 ; l’autorité ne doit s’adresser aux tiers pour obtenir leur consentement que lorsqu’elle envisage de délivrer une information les concernant : art. 16 al. 4 LInfo).</w:t>
      </w:r>
    </w:p>
    <w:p>
      <w:r>
        <w:rPr>
          <w:b/>
        </w:rPr>
        <w:t>E. 4</w:t>
      </w:r>
    </w:p>
    <w:p>
      <w:r>
        <w:t>Il résulte des considérations qui précèdent que le présent recours doit être rejeté, la décision municipale étant maintenue. Le présent arrêt sera au surplus rendu sans frais (art. 27 al. 1 LInfo).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