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GE.2020.0211 vom 26. März 2021</w:t>
      </w:r>
    </w:p>
    <w:p>
      <w:r>
        <w:t>VD Tribunal cantonal, 2021-03-26, FR</w:t>
      </w:r>
    </w:p>
    <w:p>
      <w:r>
        <w:rPr>
          <w:b/>
        </w:rPr>
        <w:t xml:space="preserve">Quelle: </w:t>
      </w:r>
      <w:r>
        <w:t>https://mcp.opencaselaw.ch/entscheid/vd_omni_GE.2020.0211</w:t>
      </w:r>
    </w:p>
    <w:p>
      <w:r>
        <w:t>FR: VD_OMNI GE.2020.0211 du 26 mars 2021</w:t>
      </w:r>
    </w:p>
    <w:p>
      <w:r>
        <w:t>IT: VD_OMNI GE.2020.0211 del 26 marzo 2021</w:t>
      </w:r>
    </w:p>
    <w:p>
      <w:pPr>
        <w:pStyle w:val="Heading2"/>
      </w:pPr>
      <w:r>
        <w:t>Regeste</w:t>
      </w:r>
    </w:p>
    <w:p>
      <w:r>
        <w:t>A.________ /Direction générale du territoire et du logement, Municipalité de L'Abbaye | Dans sa demande de révision, le requérant se limite à proposer un arrangement à l'autorité de première instance. Force est de constater que les conditions légales de la révision ne sont manifestement pas réunies.</w:t>
      </w:r>
    </w:p>
    <w:p>
      <w:pPr>
        <w:pStyle w:val="Heading2"/>
      </w:pPr>
      <w:r>
        <w:t>Erwägungen</w:t>
      </w:r>
    </w:p>
    <w:p>
      <w:r>
        <w:rPr>
          <w:b/>
        </w:rPr>
        <w:t>E. 1</w:t>
      </w:r>
    </w:p>
    <w:p>
      <w:r>
        <w:t>Selon l'art. 100 al. 1 de la loi vaudoise du 28 octobre 2008 sur la procédure administrative (LPA-VD; BLV 173.36), seule une décision entrée en force peut faire l'objet d'une demande de révision. L'arrêt de la CDAP du 29 septembre 2020 (AC.2020.0040) est entré en force. Déposée auprès de l'autorité ayant rendu cet arrêt et dans le délai de 90 jours ( cf . art. 10 et 102 LPA-VD), la demande de révision  est recevable.</w:t>
      </w:r>
    </w:p>
    <w:p>
      <w:r>
        <w:rPr>
          <w:b/>
        </w:rPr>
        <w:t>E. 2</w:t>
      </w:r>
    </w:p>
    <w:p>
      <w:r>
        <w:t>Les faits nouveaux survenus après le prononcé de la décision ou du jugement ne peuvent donner lieu à une demande de révision". Ces motifs correspondent à ceux énoncés à l'art. 123 al. 1 et 123 al. 2 let. a de la loi du 17 juin 2005 sur le Tribunal fédéral (LTF; RS 173.110) et à l'art. 137 de l'ancienne loi fédérale d'organisation judiciaire en vigueur jusqu'au 31 décembre 2006 (aOJ). Ils peuvent par conséquent être interprétés à la lumière de la jurisprudence du Tribunal fédéral concernant ces dispositions (RE.2010.0009 du 6 juin 2011, RE.2010.0002 du 17 septembre 2010, RE.2010.0001 du 12 août 2010). Ainsi, un fait doit être qualifié de "nouveau" au sens de l'art. 100 al. 1 let. b LPA-VD s'il existait déjà lorsque l'arrêt a été rendu, mais qu'il n'avait pas pu être porté à la connaissance du tribunal malgré la diligence du requérant (arrêt RE.2011.0007 du 29 juillet 2011 consid. 2; cf. ég. TF 1C_577/2020 du 3 février 2021 consid. 3, 1F_4/2007 du 9 mars 2007 consid. 4, concernant l'interprétation de l'art. 123 LTF). Ne peuvent justifier une révision que les moyens de preuve qui portent sur des faits antérieurs à l'arrêt en question et qui existaient au moment où ils auraient pu être invoqués, mais qui, sans faute, ne l'ont pas été (TF 5F_20/2014 du 3 novembre 2014 consid. 2.1 et les références); en outre, ces moyens de preuve doivent être pertinents, respectivement décisifs, c'est-à-dire de nature à modifier l'état de fait qui est à la base de la décision entreprise et à conduire à une solution différente en fonction d'une appréciation juridique correcte (TF 5F_20/2014 précité consid. 2.1, 2F_2/2008 du 31 mars 2008 consid. 2).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œuvre pour établir celui-ci (TF 4F_22/2011 du 21 février 2012 consid. 2.1 et les références citées, notamment l'ATF 134 IV 48 consid. 1.2 p. 50). Il y a ainsi lieu de conclure à un manque de diligence lorsque la découverte de faits ou de moyens de preuve nouveaux résulte de recherches qui auraient pu et dû être effectuées dans la procédure précédente (TF 5F_20/2014 du 3 novembre 2014 consid. 2.1, 4A_247/2014 du 23 septembre 2014 consid. 2.3). Il n'y a pas non plus motif à révision du seul fait que le tribunal paraît avoir mal interprété des faits déjà connus lors de la procédure principale (ATF 127 V 353 consid. 5b; arrêt RE.2011.0007 du 29 juillet 2011 consid. 2). b) Dans le cas d'espèce, le requérant ne soutient pas que l'arrêt attaqué a été influencé par un crime ou un délit, pas plus qu'il n'invoque des faits ou des moyens de preuve importants qu'il ne pouvait pas connaître lors de la première décision ou dont il ne pouvait pas ou n'avait pas de raison de se prévaloir. Dans sa demande de révision, le requérant se limite à proposer un arrangement à l'autorité de première instance. Force est ainsi de constater que les conditions posées à la révision par l'art. 100 LPA-VD ne sont manifestement pas réunies.</w:t>
      </w:r>
    </w:p>
    <w:p>
      <w:r>
        <w:rPr>
          <w:b/>
        </w:rPr>
        <w:t>E. 3</w:t>
      </w:r>
    </w:p>
    <w:p>
      <w:r>
        <w:t>Le requérant, qui succombe, supportera les frais du présent arrêt (cf. art. 49 al. 1, 91 et 99 LPA-VD et art. 4 al. 1 du tarif du 28 avril 2015 des frais judiciaires et des dépens en matière administrative [TFJDA; BLV 173.36.5.1]).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