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GE.2020.0200 vom 3. August 2021</w:t>
      </w:r>
    </w:p>
    <w:p>
      <w:r>
        <w:t>VD Tribunal cantonal, 2021-08-03, FR</w:t>
      </w:r>
    </w:p>
    <w:p>
      <w:r>
        <w:rPr>
          <w:b/>
        </w:rPr>
        <w:t xml:space="preserve">Quelle: </w:t>
      </w:r>
      <w:r>
        <w:t>https://mcp.opencaselaw.ch/entscheid/vd_omni_GE.2020.0200</w:t>
      </w:r>
    </w:p>
    <w:p>
      <w:r>
        <w:t>FR: VD_OMNI GE.2020.0200 du 3 août 2021</w:t>
      </w:r>
    </w:p>
    <w:p>
      <w:r>
        <w:t>IT: VD_OMNI GE.2020.0200 del 3 agosto 2021</w:t>
      </w:r>
    </w:p>
    <w:p>
      <w:pPr>
        <w:pStyle w:val="Heading2"/>
      </w:pPr>
      <w:r>
        <w:t>Regeste</w:t>
      </w:r>
    </w:p>
    <w:p>
      <w:r>
        <w:t>A.________/POLICE CANTONALE DU COMMERCE | Recours contre un refus d'autorisation de pratiquer le transport de personnes à titre professionnel, au motif que l'intéressée a fait l'objet d'une condamnation pour infraction grave à la LCR (circulation à contresens et collision frontale) et qu'elle ne remplit dès lors pas les conditions posées par l'art. 62e LEAE entré en vigueur le 1er janvier 2020. En l'occurrence, la décision attaquée respecte les exigences posées à la restriction de la liberté économique. La recourante ne présente pas en l'état les garanties suffisantes de sécurité exigées pour exercer la profession en cause et son intérêt privé à conserver son gagne-pain ne l'emporte pas sur l'intérêt à protéger le public. Elle pourra au demeurant déposer une nouvelle demande d'autorisation une fois que la condamnation litigieuse ne figurera plus au casier judiciaire destiné aux particuliers. Recours rejeté.</w:t>
      </w:r>
    </w:p>
    <w:p>
      <w:pPr>
        <w:pStyle w:val="Heading2"/>
      </w:pPr>
      <w:r>
        <w:t>Erwägungen</w:t>
      </w:r>
    </w:p>
    <w:p>
      <w:r>
        <w:rPr>
          <w:b/>
        </w:rPr>
        <w:t>E. 1</w:t>
      </w:r>
    </w:p>
    <w:p>
      <w:r>
        <w:t>Disposant de la qualité pour recourir, la recourante a de surcroît agi dans le délai et la forme utiles (cf. art. 75 let. a, 79, 95 et 99 de la loi du 28 octobre 2008 sur la procédure administrative [LPA-VD; BLV 173.36]). Il sied ainsi d'entrer en matière.</w:t>
      </w:r>
    </w:p>
    <w:p>
      <w:r>
        <w:rPr>
          <w:b/>
        </w:rPr>
        <w:t>E. 2</w:t>
      </w:r>
    </w:p>
    <w:p>
      <w:r>
        <w:t>En substance, la recourante se plaint d'être privée du droit d'exercer une activité professionnelle lui permettant de subvenir aux besoins de sa famille; implicitement, la recourante conteste une restriction à sa liberté économique. C’est ainsi sous l’angle des art. 27 et 36 de la Constitution fédérale de la Confédération suisse du 18 avril 1999 (Cst.; RS 101) que le tribunal examinera le bien-fondé de la décision attaquée. a) 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telle que l'activité de chauffeur de taxi (cf. ATF 143 II 598 consid. 5.1; arrêt TF 2C_394/2020 du 20 novembre 2020 consid. 7.1 et les références citées). b) Conformément à l'art. 36 Cst., des restrictions cantonales à cette liberté sont admissibles, mais elles doivent reposer sur une base légale (cf. consid. 3 infra ), être justifiées par un intérêt public prépondérant et respecter le principe de la proportionnalité (cf. consid. 4 infra ).</w:t>
      </w:r>
    </w:p>
    <w:p>
      <w:r>
        <w:rPr>
          <w:b/>
        </w:rPr>
        <w:t>E. 3</w:t>
      </w:r>
    </w:p>
    <w:p>
      <w:r>
        <w:t>On examinera en premier lieu la question de savoir si la décision litigieuse est fondée sur une base légale suffisante. a) Le 1 er janvier 2020 est entrée en vigueur une modification du 12 mars 2019 de la loi vaudoise du 31 mai 2005 sur l'exercice des activités économiques (LEAE; BLV 930.01). Cette novelle a introduit les art. 62a à 62h LEAE, selon lesquels le transport de personnes à titre professionnel est désormais régi en première ligne par l'autorité cantonale (à savoir la PCC) et non plus par les communes. La disposition transitoire de l'art. 101a al. 4 LEAE prévoit que les détenteurs d'une autorisation communale doivent déposer les demandes d'autorisations cantonales requises dans un délai échéant le 30 juin 2020, tout en restant autorisés à poursuivre leur activité jusqu'à l'entrée en force de la décision cantonale. L'octroi de l'autorisation en cause est traité à l'art. 62e LEAE intitulé " Autorisations ", dont l'al. 1 est libellé comme suit: " 1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A la lettre de cette disposition, le requérant entendant obtenir une autorisation de transport de personnes à titre professionnel doit ainsi fournir à la PCC, en particulier, " toute information attestant […] de l'absence de condamnations à raison […] d'infraction à la législation sur la circulation routière ". Même si une rédaction plus précise aurait été bienvenue, l'art. 62e LEAE exprime avec suffisamment de clarté que les "informations" devant être fournies à l'autorité correspondent aux conditions posées à l'octroi de l'autorisation en cause. Ainsi, la présence d'une condamnation à raison, en particulier, d'une infraction à la législation sur la circulation routière constitue en principe un motif de refus de l'autorisation (cf. arrêts CDAP GE.2021.0021 du 19 avril 2021 consid. 3; GE.2020.0225 du 14 avril 2021 consid. 2a et b; GE.2020.0185 du 8 janvier 2021 consid. 3). Le régime institué est celui d’une autorisation de police, puisque le conducteur doit pour l’essentiel présenter des garanties morales et de sécurité pour le client suffisantes. La fonction même d'un régime d'autorisation est de mettre en place un contrôle préventif de l'acte ou de l'activité privés envisagés, permettant à l'autorité de vérifier que ceux-ci sont conformes à l'ordre légal. La doctrine insiste, s'agissant de l'autorisation de police, sur le fait que les activités concernées relèvent du secteur privé; mais il apparaît nécessaire que celles-ci fassent l'objet d'un contrôle préalable avant qu'elles ne soient déployées; ce contrôle vise à s'assurer que l'exercice de l'activité en cause pourra préserver les biens de police susceptibles d'être menacés. On pense ici à la santé publique, à la tranquillité et à l'ordre publics, notamment, voire d’autres intérêts publics. Lorsque l'autorisation fait défaut, l'activité en cause est interdite (cf. arrêt GE.2020.0225 précité consid. 2a et la référence citée). b) La décision de l'autorité intimée refusant d'accorder à la recourante une autorisation de transport de personnes à titre professionnel en raison de sa condamnation pour infraction à la loi sur la circulation routière repose par conséquent sur une base légale formelle.</w:t>
      </w:r>
    </w:p>
    <w:p>
      <w:r>
        <w:rPr>
          <w:b/>
        </w:rPr>
        <w:t>E. 4</w:t>
      </w:r>
    </w:p>
    <w:p>
      <w:r>
        <w:t>Il convient ensuite d'examiner si le refus litigieux répond aux principes de l'intérêt public et de la proportionnalité. a) Sous l'angle de l'intérêt public aux restrictions à la liberté économique, sont autorisées les mesures d'ordre public, de politique sociale ainsi que les mesures dictées par la réalisation d'autres intérêts publics ( cf. ATF 143 I 388 consid. 2.1; 143 I 403 consid. 5.2 et les références citées). Selon la jurisprudence, l'activité de chauffeur de taxi s'exerce dans des conditions particulières qui nécessitent que les chauffeurs offrent des garanties suffisantes de moralité et de sécurité vis-à-vis de leurs clients. Par sa fonction et par son importance, le service de taxis se rapproche d'un service public. Le client, notamment en cas d'urgence pour se rendre à l'hôpital ou chez un médecin, doit pouvoir compter sur un chauffeur de confiance, rapide et calculant correctement le prix de la course, car il n'a très souvent pas la possibilité de choisir (cf. ATF 79 I 334 consid. 4b; arrêts TF 2C_1149/2018 du 10 mars 2020 consid. 5.8; 2C_940/2010 du 17 mai 2011 consid. 4.5; 2P.167/1999 du 25 mai 2000 consid. 2a et 6c). Dans ces circonstances, une réglementation de cette activité doit tenir compte des exigences se rapportant notamment à l'ordre public, à la sécurité, à la morale et à l'hygiène publiques (cf. ATF 79 I 334 précité). Il existe un intérêt public particulièrement prononcé à ce que les passagers d'un taxi bénéficiant d'une concession accordée par l'autorité puissent compter sur une intégrité et un comportement irréprochables (cf. arrêt TF 2C_551/2011 du 12 août 2011). S’agissant en particulier de la LEAE, la CDAP a précisé que cette loi tendait au respect d'exigences de sécurité publique (cf. art. 1 LEAE) et que les restrictions qu’elle apportait répondaient à un intérêt public. Le législateur entendait manifestement protéger en premier lieu les passagers accordant leur confiance à un conducteur professionnel (cf. GE.2020.0225 précité consid. 2b; cf. également, Exposé des motifs et projet de loi modifiant la LEAE et la loi du 25 novembre 1974 sur la circulation routière [LVCR], et rapport du Conseil d'Etat au Grand Conseil sur le postulat Mathieu Blanc et consorts [15_POS_131], janvier 2018, ch. 1.3.2.7 p. 14; rapport de majorité de la Commission, novembre 2018, ch. 6.1 ad art. 62e p. 10; Bulletin du Grand Conseil [BGC] n° 64 du 29 janvier 2019, pp. 52 ss, interventions Butera et Christen). b) En l'espèce, la recourante a été condamnée en avril 2017 pour violation grave des règles de la circulation routière (commise à réitérées reprises) à une peine de 20 jours-amende. Il ressort du jugement pénal correspondant qu'en sortant d’un parking, la recourante a tourné à gauche - nonobstant la signalisation routière indiquant clairement l’obligation de tourner à droite -, s’est de surcroît mise sur la présélection de gauche prévue pour la circulation venant en sens inverse et a ainsi provoqué une collision frontale blessant légèrement la conductrice de l'autre véhicule. L’autorité pénale a retenu que, par ce comportement, la recourante avait créé un danger sérieux pour les autres usagers de la route, qu’elle avait en outre accepté. La recourante a, pour sa part, expliqué dans la présente cause qu’elle avait conscience de l’erreur commise et du danger provoqué, tout en évoquant un "moment d’égarement". A la lumière de ces éléments, il apparaît que la recourante a été sanctionnée sur le plan pénal pour un comportement objectivement grave. Force est ainsi de constater qu'elle ne présente pas, en l'état, les garanties suffisantes de sécurité exigées par la loi pour transporter des personnes à titre professionnel. Le refus d'autorisation répond dès lors à un intérêt public. c) Sous l'angle de la proportionnalité, la recourante invoque le fait qu'elle est mère de cinq enfants, que son emploi actuel constitue son unique revenu et qu'il lui serait difficile de retrouver un autre emploi à plus de 50 ans. S'il est indéniable que l'intérêt privé de la recourante à conserver son métier est très important, il n'en demeure pas moins que le refus d'autorisation apparaît, au vu de l'intérêt public en jeu et des circonstances particulières du cas d'espèce - en particulier de la gravité de la faute commise -, proportionné. Peu importe à cet égard que la recourante n'ait pas été sanctionnée sur le plan administratif. On observe en outre que la recourante pourra déposer une nouvelle demande d'autorisation une fois que la condamnation litigieuse ne figurera plus au casier judiciaire, l'échéance étant fixée au 12 décembre 2023 (cf. art. 371 al. 3 CP, relatif à l'extrait du casier judiciaire destiné à des particuliers). En conclusion, la décision de refus d'octroi d'autorisation répond aux exigences posées par l'art. 36 Cst. et doit dès lors être confirmée.</w:t>
      </w:r>
    </w:p>
    <w:p>
      <w:r>
        <w:rPr>
          <w:b/>
        </w:rPr>
        <w:t>E. 5</w:t>
      </w:r>
    </w:p>
    <w:p>
      <w:r>
        <w:t>Vu ce qui précède, le recours, mal fondé, est rejeté. Succombant, la recourante n'a pas droit à des dépens (cf. art. 55 al. 1 a contrario LPA-VD). Au vu des circonstances, il sera renoncé à prélever un émolument judiciaire (cf.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