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GE.2020.0196 vom 3. Mai 2021</w:t>
      </w:r>
    </w:p>
    <w:p>
      <w:r>
        <w:t>VD Tribunal cantonal, 2021-05-03, FR</w:t>
      </w:r>
    </w:p>
    <w:p>
      <w:r>
        <w:rPr>
          <w:b/>
        </w:rPr>
        <w:t xml:space="preserve">Quelle: </w:t>
      </w:r>
      <w:r>
        <w:t>https://mcp.opencaselaw.ch/entscheid/vd_omni_GE.2020.0196</w:t>
      </w:r>
    </w:p>
    <w:p>
      <w:r>
        <w:t>FR: VD_OMNI GE.2020.0196 du 3 mai 2021</w:t>
      </w:r>
    </w:p>
    <w:p>
      <w:r>
        <w:t>IT: VD_OMNI GE.2020.0196 del 3 maggio 2021</w:t>
      </w:r>
    </w:p>
    <w:p>
      <w:pPr>
        <w:pStyle w:val="Heading2"/>
      </w:pPr>
      <w:r>
        <w:t>Regeste</w:t>
      </w:r>
    </w:p>
    <w:p>
      <w:r>
        <w:t>A._________/Municipalité de Morges | Exploitant d'un service de taxis au bénéfice d'une autorisation B demandant fin 2019 l'octroi d'une autorisation A. Production par l'intéressé d'un extrait du registre du commerce selon lequel son entreprise individuelle a son siège à Morges. Recours contre la décision de la municipalité rendue en octobre 2020 lui refusant l'autorisation A faute de places de stationnement disponibles. Question laissée indécise de savoir si l'art. 74a LEAE, entré en vigueur le 1er janvier 2020 et qui imparti un délai d'un an aux communes pour adapter leur réglementaiton, s'applique en l'espèce. Constat que le recourant remplissait les conditions posées par le réglement communal pour l'octroi d'une autorisation A, notamment que le siège de sa raison individuelle était à Morges. Décision attaquée violant la liberté économique du recourant dans la mesure où elle lui refuse l'autorisation A sans motif objectif alors que celle-ci a été accordée à d'autres exploitants ayant déposé leur demande en même temps. Question laissée indécise de savoir si l'attribution des autorisations A aurait dû faire l'objet d'un appel d'offres au sens de l'art. 2 al. 7 LMI. Annulation de la décision attaquée et renvoi de la cause à la municipalité pour qu'elle statue à nouveau sur la demande du recourant.</w:t>
      </w:r>
    </w:p>
    <w:p>
      <w:pPr>
        <w:pStyle w:val="Heading2"/>
      </w:pPr>
      <w:r>
        <w:t>Erwägungen</w:t>
      </w:r>
    </w:p>
    <w:p>
      <w:r>
        <w:rPr>
          <w:b/>
        </w:rPr>
        <w:t>E. 1</w:t>
      </w:r>
    </w:p>
    <w:p>
      <w:r>
        <w:t>Déposé dans le délai légal contre une décision d’une municipalité relative à une autorisation d’exploiter un service de taxis, qui n’est pas susceptible de recours devant une autre autorité, par le destinataire de la décision, qui dispose manifestement d’un intérêt digne de protection à son annulation, le recours satisfait au surplus aux exigences formelles posées par la loi, si bien qu’il convient d’entrer en matière (art. 92 et 95 ainsi que les art. 75 et 79, par renvoi de l’art. 99, de la loi du 28 octobre 2008 sur la procédure administrative [LPA-VD; BLV 173.36]).</w:t>
      </w:r>
    </w:p>
    <w:p>
      <w:r>
        <w:rPr>
          <w:b/>
        </w:rPr>
        <w:t>E. 2</w:t>
      </w:r>
    </w:p>
    <w:p>
      <w:r>
        <w:t>La décision attaquée refuse de délivrer au recourant une autorisation A pour exploiter un service de taxis.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seule la décision refusant au recourant l’octroi d’une autorisation A fait partie de l’objet du litige. Le recourant ne peut donc contester directement dans le cadre de la présente procédure une décision octroyant une autorisation de ce même type à un tiers, décision qui date du mois de décembre 2019 et qui est entrée en force. Les arguments du recourant à cet égard ne seront pris en considération que dans la mesure où celui-ci se prévaut d’une violation du principe de l’égalité de traitement, notamment en lien avec la garantie de la liberté économique (cf. infra consid. 3c).</w:t>
      </w:r>
    </w:p>
    <w:p>
      <w:r>
        <w:rPr>
          <w:b/>
        </w:rPr>
        <w:t>E. 3</w:t>
      </w:r>
    </w:p>
    <w:p>
      <w:r>
        <w:t>Les communes ou associations de communes autorisent l’activité de taxi sur leur territoire aux seuls chauffeurs professionnels et entreprises de transport de personnes à titre professionnel disposant d’une autorisation cantonale qui satisfont aux conditions minimales suivantes : a. ils offrent une complémentarité en matière de service public; b. ils prennent part à un service de piquet 24/24 et 7/7; c. ils sont affiliés à un seul diffuseur de courses, le cas échéant désigné par l’autorité communale, si le règlement communal le prévoit.</w:t>
      </w:r>
    </w:p>
    <w:p>
      <w:r>
        <w:rPr>
          <w:b/>
        </w:rPr>
        <w:t>E. 4</w:t>
      </w:r>
    </w:p>
    <w:p>
      <w:r>
        <w:t>Elles peuvent limiter le nombre total d’autorisations délivrées pour leur territoire au regard des exigences d’une bonne gestion du domaine public.</w:t>
      </w:r>
    </w:p>
    <w:p>
      <w:r>
        <w:rPr>
          <w:b/>
        </w:rPr>
        <w:t>E. 5</w:t>
      </w:r>
    </w:p>
    <w:p>
      <w:r>
        <w:t>Le règlement communal ou intercommunal détermine notamment le montant de la taxe qui peut être prélevée.</w:t>
      </w:r>
    </w:p>
    <w:p>
      <w:r>
        <w:rPr>
          <w:b/>
        </w:rPr>
        <w:t>E. 6</w:t>
      </w:r>
    </w:p>
    <w:p>
      <w:r>
        <w:t>Le recours doit donc être admis et la décision attaquée annulée, la cause étant renvoyée à l’autorité intimée pour nouvelle décision dans le sens des considérants. Il n’est pas perçu d’émolument (art. 49 LPA-VD). Il n’y a pas lieu d’allouer des dépens au recourant, qui n’était pas assisté d’un mandataire professionnel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