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GE.2020.0177 vom 13. April 2021</w:t>
      </w:r>
    </w:p>
    <w:p>
      <w:r>
        <w:t>VD Tribunal cantonal, 2021-04-13, FR</w:t>
      </w:r>
    </w:p>
    <w:p>
      <w:r>
        <w:rPr>
          <w:b/>
        </w:rPr>
        <w:t xml:space="preserve">Quelle: </w:t>
      </w:r>
      <w:r>
        <w:t>https://mcp.opencaselaw.ch/entscheid/vd_omni_GE.2020.0177</w:t>
      </w:r>
    </w:p>
    <w:p>
      <w:r>
        <w:t>FR: VD_OMNI GE.2020.0177 du 13 avril 2021</w:t>
      </w:r>
    </w:p>
    <w:p>
      <w:r>
        <w:t>IT: VD_OMNI GE.2020.0177 del 13 aprile 2021</w:t>
      </w:r>
    </w:p>
    <w:p>
      <w:pPr>
        <w:pStyle w:val="Heading2"/>
      </w:pPr>
      <w:r>
        <w:t>Regeste</w:t>
      </w:r>
    </w:p>
    <w:p>
      <w:r>
        <w:t>A.________ et B.________ /Association régionale pour l'action sociale Morges-Aubonne-Cossonay, RESEAU AJEMA | Recours de parents contre une décision d'une association de communes gérant un réseau d'accueil de jour mettant fin au placement de leur enfant en raison de leur refus de signer un contrat prévoyant la réduction de la durée du placement de celui-ci de trois à deux jours au motif que le père de l'enfant était en recherche d'emploi. Recours recevable dans la mesure où l'acte du réseau est susceptible d'empêcher l'accès à l'offre d'accueil (consid. 1, confirmation de jurisprudence). Pas de violation du droit d'être entendu, les recourants ayant été indisponibles à deux reprises pour une audition personnelle et l'autorité leur ayant permis de faire valoir leurs moyens par écrit (consid. 2). Confirmation que l'ordre de priorité défini par les conditions générales du réseau est conforme à la loi et permet de diminuer le taux de fréquentation de l'enfant compte tenu du fait que le père était en recherche d'emploi et même si celui-ci a été victime d'un accident et n'était plus apte au placement. Pas de violation des conditions générales quant au moment où la modification est intervenue. Confirmation de la décision attaquée dès lors que les recourants ont refusé sans motif valable la diminution du taux de fréquentation.</w:t>
      </w:r>
    </w:p>
    <w:p>
      <w:pPr>
        <w:pStyle w:val="Heading2"/>
      </w:pPr>
      <w:r>
        <w:t>Erwägungen</w:t>
      </w:r>
    </w:p>
    <w:p>
      <w:r>
        <w:rPr>
          <w:b/>
        </w:rPr>
        <w:t>E. 1</w:t>
      </w:r>
    </w:p>
    <w:p>
      <w:r>
        <w:t>Il convient d'abord d'examiner la recevabilité du recours. a) Selon l'art. 6 al. 1 de la loi vaudoise du 28 octobre 2008 sur la procédure administrative (LPA-VD; BLV 173.36), l'autorité examine d'office si elle est compétente. Aux termes de l'art. 92 al. 1 LPA-VD, le Tribunal cantonal connaît des recours contre les décisions et décisions sur recours rendues par les autorités administratives, lorsque la loi ne prévoit aucune autre autorité pour en connaître. A teneur de l'art. 4 LPA-VD, sont des autorités administratives les organes du canton, des communes, des associations ou fédérations de communes et des agglomérations, ainsi que les personnes physiques ou morales, qui sont légalement habilités à rendre des décisions.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 En l'occurrence, la décision du Comité directeur de l’ARASMAC du 11 septembre 2020 confirme celle de son directeur du 26 juin 2020 qui, selon son dispositif, réduit de de trois à deux jours par semaine du temps d'accueil de l'enfant des recourants au CVE Silasol dès le 1 er mai 2020 et confirme que le nouveau contrat d'accueil n'était pas entré en vigueur. Cela étant, il ressort de l'ensemble du dossier que la décision du 26 juin 2020 a également pour effet de mettre fin au placement de l'enfant C.________ au CVE Silasol dès le 31 mai 2020. L'en-tête de la décision du 26 juin 2020 mentionne d'ailleurs " Décision concernant la fin du contrat d'accueil SILASOL au 31 mai 2020 " et l'enfant Malo n'a plus fréquenté le CVE Silasol après cette date, ce qui confirme cette interprétation. Malgré la formulation du dispositif de cette décision, l'objet du litige ne porte donc pas principalement sur la modification du taux de fréquentation mais bien sur la fin du placement au 31 mai 2020 qui est la conséquence du refus des recourants de souscrire à la modification précitée. Les recourants concluent implicitement à l'annulation de la décision attaquée en soutenant que le contrat des 11 et 14 février 2020 portant sur un temps d'accueil de trois jour serait toujours valable, ce qui s'inscrit dans le cadre de l'objet du litige. Ils prennent également d'autres conclusions portant sur l'application, la clarification et la modification CG de l'ARASMAC. Ces conclusions excèdent l'objet du litige et sont donc irrecevables; il n'appartient pas au Tribunal cantonal mais cas échéant à l'ARASMAC de modifier les CG. Sont également irrecevables les conclusions des recourants tendant à l'octroi de dommages-intérêts pour tort moral, lesquelles relèvent en droit vaudois des tribunaux civils (art. 103 ss du Code de droit privé judiciaire vaudois [CDPJ; BLV 211.02]). d) Dans un deuxième temps, il s'agit d'examiner la nature des relations entre les recourants et l'ARASMAC. Il s'agit en particulier de déterminer si le Comité de direction de l’ARASMAC pouvait en l'espèce rendre une décision au sens de l'art. 3 LPA-VD. aa) L’art. 3 al. 1 LAJE prévoit que cette loi s'applique à l'accueil collectif préscolaire (let. a), à l'accueil collectif parascolaire primaire et secondaire (let. b), à l'accueil familial de jour (let. c) ainsi qu’aux réseaux d'accueil de jour (let. d). Les collectivités publiques, les partenaires privés, les structures d'accueil collectifs et les structures de coordination d'accueil familial de jour peuvent constituer un réseau d'accueil de jour (art. 27 al. 1 LAJE). Les constituants d'un réseau en fixe librement l'organisation et le statut juridique (art. 27 al. 3 LAJE). Selon l'art. 28 LAJE, les enfants des habitants ou des employés des membres du réseau ont accès, selon les disponibilités, à toute l'offre d'accueil collectif et familial proposée par les structures membres du réseau. L'art. 29 LAJE prévoit que chaque réseau fixe sa propre politique tarifaire (al. 1), l'accessibilité aux prestations d'accueil étant garantie (al. 2) et le montant maximum facturé aux parents ne pouvant dépasser le coût moyen  des prestations concernées au sein du réseau d'accueil de jour (al. 3). Les art. 31 et 32 LAJE fixe les conditions de la reconnaissance des réseaux d'accueil de jour. Selon l'art. 54 LAJE, un recours est ouvert au Tribunal cantonal contre les décisions prises en vertu de cette loi. bb) Les dispositions précitées ne définissent pas la nature des relations entre les parents et les réseaux d'accueil de jour. Elles ne confèrent pas expressément aux réseaux d'accueil de jour ni à d'autres autorités de compétences décisionnelles en matière de placement. Il convient dès lors d'interpréter – notamment sous l'angle téléologique – les dispositions légales pour déterminer le régime applicable, ce qui peut s'avérer délicat (cf. Steve Favez, L'accueil collectif préscolaire, in Le droit en mouvement, Mélanges en l'honneur du Professeur Etienne Poltier, Genève Zurich Bâle 2020, p. 213 ss, spéc. p. 224-225).  Dans un arrêt GE.2017.0142 du 26 février 2018 (consid. 1e/dd), la CDAP a  considéré que l'acte par lequel un réseau d'accueil de jour – il s'agissait aussi de l'ARASMA – résiliait un contrat de placement en cours, que ce soit pour des raisons de facturation ou de domicile, équivalait à une " exclusion " de la structure qui touchait le droit des particuliers d'accéder à l'offre d'accueil (art. 28 LAJE) et était ainsi constitutive d'une décision administrative si bien qu'elle a considéré que le recours des parents était recevable (cf. Favez, op. cit., p. 225, qui relève que cet arrêt laisse toutefois entendre que la modification du taux de fréquentation relève de la marge de négociation ou de choix laissée aux parties et donc du régime contractuel; voir aussi arrêt GE.2017.0052 du 6 novembre 2017 admettant la recevabilité du recours contre une décision en matière de facturation). cc) En l'occurrence, comme on l'a vu plus haut, le réseau d'accueil de jour a mis fin au placement de l'enfant Milo Kernen avec effet rétroactif au 31 mai 2020 en raison du refus des parents d'accepter la diminution de trois à deux jours de la fréquentation de la garderie, respectivement de signer le nouveau contrat de placement qui leur était proposé . On se trouve donc dans une situation similaire à celle visée par l'arrêt GE.2017.0142 précité où l'acte du réseau ne permet plus aux parents d'accéder à l'offre d'accueil proposée, si bien qu'il doit être qualifié de décision. La décision du Comité de direction de l'ARASMAC, qui ne peut faire l'objet d'un recours devant une autre autorité, est donc susceptible de recours devant la CDAP (art. 92 LPA-VD), si bien qu'il convient d'entrer en matière.</w:t>
      </w:r>
    </w:p>
    <w:p>
      <w:r>
        <w:rPr>
          <w:b/>
        </w:rPr>
        <w:t>E. 2</w:t>
      </w:r>
    </w:p>
    <w:p>
      <w:r>
        <w:t>Les recourants invoquent une violation de leur droit d'être entendus. Ils font grief à l'autorité intimée d'avoir statué sans procéder à leur audition. a) La procédure est en principe écrite (art. 27 al. 1 LPA-VD). L’autorité peut toutefois ordonner l'audition des parties à titre de moyen de preuve (art. 29 al. 1 let. a LPA-VD). Tel que garanti par l'art. 29 al. 2 de la Constitution fédérale de la Confédération suisse du 18 avril 1999 (Cst.; RS 101), le droit d'être entendu ne comprend pas le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l'espèce, l'autorité intimée a d'abord envisagé de procéder à l'audition personnelle de recourants avant de les inviter, en raison de leur indisponibilité aux dates successivement proposées pour celle-ci, à faire valoir leur droit d'être entendus par écrit. Contrairement à ce que soutiennent les recourants, cette manière de procéder n'est pas critiquable dès lors qu'ils ne peuvent faire valoir aucun droit à être entendus personnellement ni à ce que l'autorité intimée, qui a déjà fait preuve d'une certaine souplesse en reportant une fois la date de leur audition, tienne compte de leurs disponibilités pour fixer la date d'une nouvelle audition. Force est de constater au surplus que les recourants, bien qu'ayant été invités à le faire, n'ont pas exercé leur droit d'être entendus par écrit dans le délai qui leur avait été imparti à cet effet. Enfin, une prolongation des délais fixés pendant l'été ne s'imposait pas en l'espèce en raison de la situation sanitaire liée au Covid-19, les recourants n'ayant de surcroît pas allégué que leur indisponibilité était due à des motifs liés à la pandémie. Quoiqu'il en soit, une éventuelle violation du droit d'être entendu des recourants devrait de toute manière être considérée comme ayant été réparée devant l'autorité de céans qui dispose d'un plein pouvoir d'examen et devant laquelle les recourants ont pu faire valoir l'entier de leurs arguments (ATF 137 I 195 consid. 2.3.2; 133 I 201 consid. 2.2; 132 V 387 consid. 5.1). Ce grief doit donc être rejeté.</w:t>
      </w:r>
    </w:p>
    <w:p>
      <w:r>
        <w:rPr>
          <w:b/>
        </w:rPr>
        <w:t>E. 2.2</w:t>
      </w:r>
    </w:p>
    <w:p>
      <w:r>
        <w:t>CG n'a pas conduit à la fin du placement de leur enfant, ce qui aurait pu être problématique sous l'angle de l'art. 28 LAJE. C'est uniquement leur refus d'accepter cette modification et de signer un nouveau contrat qui est à l'origine de cette situation. Il résulte de ce qui précède qu'on ne saurait faire grief au réseau d'avoir en l'espèce soumis aux recourants un nouveau contrat valable dès le 1 er mai 2020 et diminuant le taux de fréquentation de leur fils de trois à deux jours. Le refus des recourants d'accepter, par la signature d'un nouveau contrat, la réduction de trois à deux jours du taux de placement de leur enfant peut donc être assimilée à une violation par ces derniers de l'art. 2.2. CG définissant les priorités d'accès aux structures d'accueil. Conformément au dernier par. du ch. 8 CG, le réseau était dès lors en droit de mettre fin au placement de l'enfant avec effet au 31 mai 2020 sans violer l'art. 28 LAJE. c) Les griefs des recourants doivent donc également être rejetés sur ce point et la décision de l'autorité intimée confirmée.</w:t>
      </w:r>
    </w:p>
    <w:p>
      <w:r>
        <w:rPr>
          <w:b/>
        </w:rPr>
        <w:t>E. 3</w:t>
      </w:r>
    </w:p>
    <w:p>
      <w:r>
        <w:t>Sur le fond, les recourants soutiennent que la réduction du taux de fréquentation de leur enfant de trois à deux jours était injustifiée, dès lors que B.________ bénéficiait d'indemnités journalières en raison d'un accident non professionnel et n'était pas en mesure de s'occuper de son fils. Ils font également valoir qu'une diminution du taux de fréquentation ne serait pas justifiée sur le principe lorsque l'un des parents est en recherche d'emploi. Ils contestent également qu'un nouveau contrat prévoyant une réduction du taux de fréquentation de trois à deux jours puisse prendre effet pendant la période du 1 er mai au 31 juillet. a) Selon l'art. 28 LAJE, les enfants des habitants ou des employés des membres du réseau ont accès, selon les disponibilités, à toute l'offre d'accueil collectif et familial proposée par les structures membres du réseau. L'art. 31 al. 1 let. f LAJE subordonne la reconnaissance d'un réseau par la Fondation notamment au fait qu'il définit en cas d'insuffisance de places des critères de priorité tenant compte notamment du taux d'activité professionnelle des parents, de la situation sociale des familles et des besoins en accueil d'urgence. On extrait ce qui suit des Conditions générales dans les structures d'accueil collectif du réseau AJEMA (CG): " 2.2.       Priorités d'accès Les critères énoncés ci-après ne sont pas hiérarchisés et prennent en compte la situation des adultes (parent ou autre) faisant ménage commun avec l'enfant: - Enfant dont les 2 parents/adultes travaillent - Famille monoparentale avec activité professionnelle - Fratrie, à savoir les frères et sœurs de l'enfant déjà placé, dans la mesure des disponibilités - Enfant dont le parent/adulte est en formation - Enfant dont le parent/adulte est au bénéfice des mesures d'insertion (RI) - Enfant dont le parent/adulte est en recherche d'emploi et inscrit à l'ORP (taux d'accueil restreint) - Enfant d'un employé d'une entreprise membre du Réseau AJEMA - Date d'inscription en liste d'attente, sauf pour l'accueil parascolaire. 6.           Redevance et facturation […] La redevance est revue également en cours d'année, lors de tout changement nécessitant une modification de contrat (justificatifs à fournir). Il incombe au parent d'informer la structure de tout changement susceptible de modifier la redevance (par exemple, changement de revenus, de composition familiale etc.). Un nouveau contrat sera établi pour le 1 er mois du jour suivant l'annonce des modifications. La différence de prix fera l'objet d'une correction des acomptes avec effet rétroactif. 8.           Modification et résiliation du contrat Lorsque le parent désire modifier le taux de placement de son enfant à la baisse, il est tenu d'en faire la demande par écrit à la direction de la structure au plus tard deux mois à l'avance. L'acceptation d'une demande d'augmentation du taux de placement se fera dans la mesure des places disponibles et dans le respect des priorités. Elle fera l'objet d'un nouveau contrat. D'éventuelles modifications ne peuvent entrer en vigueur qu'à partir du 1 er jour d'un mois et non pas en cours de mois. Le parent qui souhaite résilier le contrat doit le faire par courrier postal avec un préavis de deux mois, pour la fin d'un mois. Aucune résiliation ni aucune diminution de fréquentation ne peut prendre effet durant la période du 1 er mai au 31 juillet inclusivement, sauf situation exceptionnelle. En cas de déménagement, le contrat doit être revu en fonction des conditions d'admission (article 2 ci-dessus). Le contrat ne peut être modifié qu'au maximum deux fois par année scolaire. En cas de non-respect des Conditions générales, de non-paiement de la redevance ou d'informations erronées concernant les déclarations sur le revenu déterminant ou la situation de l'UER, la structure se réserve le droit de résilier le contrat sans préavis et avec effet immédiat." b) En l'occurrence, il sied d'abord de relever que les recourants sont domiciliés à ********, commune qui ne fait pas partie de celles ayant adhéré au réseau AJEMA. Les recourants ont eu accès au réseau en raison du fait que la mère est employée par la Fondation E.________, qui est une entreprise affiliée au réseau (cf. ch. 2.1. CG). Conformément à l'art. 6 CG, les recourants ont signalé au réseau AJEMA le 6 février 2020 que le père n'exerçait plus d'activité professionnelle et était en recherche d'emploi et inscrit auprès de l'ORP depuis le 1 er janvier 2020. Toujours conformément à l'art. 6 CG, le réseau AJEMA a proposé aux recourants un nouveau contrat valable dès le 1 er mars 2020. Les recourants ont alors été rendus attentifs que le taux de placement de leur enfant serait réduit de trois à deux jours si le père ne retrouvait pas un emploi d'ici au 28 février 2020. Les recourants ont retourné ce nouveau contrat signé si bien qu'ils étaient informés de ce que le taux de fréquentation de leur fils serait en principe réduit dès le 1 er mai 2020 en application du ch. 2.2. CG.  On peut donc se demander s'ils n'agissent pas contrairement aux règles de la bonne foi en remettant en cause postérieurement la diminution de ce taux de fréquentation. Contrairement à ce que paraissent soutenir les recourants, il est soutenable sous l'angle de l'art. 28 LAJE de faire une distinction entre les situations d'un parent en recherche d'emploi et celle d'un parent qui exerce effectivement une activité professionnelle. Certes, les personnes en recherche d'emploi sont soumises à de nombreuses obligations en raison de leur statut. Il n'en demeure pas moins qu'elles disposent en principe d'une plus grande disponibilité pour s'occuper de leur enfant qu'une personne qui exerce une activité professionnelle. Les recourants ne peuvent non plus être suivis lorsqu'ils soutiennent que le réseau aurait dû prendre en compte le fait que B.________ était accidenté, qu'il n'était dès lors plus indemnisé par l'assurance-chômage et ne pouvait pas s'occuper de son fils. En effet, l'ordre de priorité défini par le ch. 2.2. CG ne prend pas en considération l'état de santé du parent: tenir compte des situations de maladie ou d'accident des parents, qui peuvent présenter un caractère temporaire et ne durer que quelques jours, rendrait exagérément difficile l'organisation des structures d'accueil. Il est vrai qu'il peut arriver qu'un parent en recherche d'emploi à qui on a imposé une réduction de l'accueil en application du ch. 2.2 CG tombe malade ou soit victime d'un accident et que, pour ce motif, il ne soit plus apte au placement et plus indemnisé par l'assurance chômage. Strictement, durant cette période, la personne concernée n'est plus " en recherche d'emploi " au sens du ch. 2.2 CG et il peut arriver que, en en pratique, elle ne soit plus en mesure de s'occuper de ses enfants. Ces circonstances particulières ne justifient toutefois pas de revenir sur une décision de réduction de l'accueil déjà prise en application du ch. 2.2 6 ème tiret CG. On peut en effet y répondre en faisant application du ch. 4.3. CG, qui prévoit expressément la possibilité d'accueillir temporairement un enfant en cas " d'urgence grave du parent (accident, maladie etc.) " pendant une durée plus élevée que celle prévue contractuellement. En l'espèce, la question ne s'est pas posée immédiatement au moment de l'accident puisque la structure d'accueil était fermée en raison de la pandémie de Covid-19. Les critères sur lesquels se fonde le ch. 2.2. CG pour définir l'ordre de priorité sur des critères présentent a priori un caractère plus stable tel que le fait d'exercer ou non un emploi ou de suivre une formation et s'inscrivent dans le cadre de l'art. 31 al. 1 let. f LAJE. En l'espèce, l'accident dont a été victime le recourant le 5 avril 2020 alors qu'il était en recherche d'emploi n'a donc pas de modification sur l'ordre de priorité prévu par le ch. 2.2. CG. Enfin, les recourants soutiennent à tort que le nouveau contrat prévoyant une réduction du taux de fréquentation de leur fils ne pouvait pas entrer en vigueur le 1 er mai. En effet, le 2 ème paragraphe du ch. 8 CG ne vise que la résiliation ou la diminution du taux de fréquentation par les parents et non pas par le réseau. Il n'y a pas de motif pour appliquer les mêmes restrictions aux résiliations ou modifications du taux de fréquentation par le réseau qui doivent notamment tenir compte de l'ordre de priorité défini par le ch. 2.2. CG. A cela s'ajoute que les recourants ont disposé d'un délai de trois mois pour s'organiser. Certes, les CG ne définissent pas précisément la proportion de la durée du taux de fréquentation d'un enfant en cas de modification de la situation de l'un des parents et confèrent donc une importante marge d'appréciation à la structure d'accueil. Force est toutefois de relever que les recourants ont en l'espèce conservé deux jours d'accueil sur trois si bien que la seule application de l'ordre de priorité défini par le ch.</w:t>
      </w:r>
    </w:p>
    <w:p>
      <w:r>
        <w:rPr>
          <w:b/>
        </w:rPr>
        <w:t>E. 4</w:t>
      </w:r>
    </w:p>
    <w:p>
      <w:r>
        <w:t>Il résulte de ce qui précède que le recours doit être rejeté dans la mesure où il est recevable et la décision attaquée confirmée. Il est exceptionnellement renoncé à percevoir des frais (art. 50 LPA-VD). L'Association régionale pour l'action sociale Morges-Aubonne-Cossonay, qui a procédé par l'intermédiaire d'un avocat, a droit à une indemnité à titre de dépens, qui sera mise à la charge des recourants, solidairement entre 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