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GE.2020.0113 vom 12. April 2021</w:t>
      </w:r>
    </w:p>
    <w:p>
      <w:r>
        <w:t>VD Tribunal cantonal, 2021-04-12, FR</w:t>
      </w:r>
    </w:p>
    <w:p>
      <w:r>
        <w:rPr>
          <w:b/>
        </w:rPr>
        <w:t xml:space="preserve">Quelle: </w:t>
      </w:r>
      <w:r>
        <w:t>https://mcp.opencaselaw.ch/entscheid/vd_omni_GE.2020.0113</w:t>
      </w:r>
    </w:p>
    <w:p>
      <w:r>
        <w:t>FR: VD_OMNI GE.2020.0113 du 12 avril 2021</w:t>
      </w:r>
    </w:p>
    <w:p>
      <w:r>
        <w:t>IT: VD_OMNI GE.2020.0113 del 12 aprile 2021</w:t>
      </w:r>
    </w:p>
    <w:p>
      <w:pPr>
        <w:pStyle w:val="Heading2"/>
      </w:pPr>
      <w:r>
        <w:t>Regeste</w:t>
      </w:r>
    </w:p>
    <w:p>
      <w:r>
        <w:t>A.________ /Direction générale de l'environnement (DGE) | Recours formé par une entreprise active dans le domaine de la vidange des séparateurs de graisses et d'hydrocarbures contre la décision de la DGE lui refusant l'obtention du statut d'entreprise spécialisée dans ce domaine et lui interdisant la vidange des tels séparateurs au motif qu'elle ne remplit pas certaines des conditions fixées par le règlement sur l'entretien des installations particulières d'épuration des eaux usées ménagères et des installations de prétraitement industrielles (RIEEU) (soit être au bénéfice d'une licence de transporteur au sens de l'OTVM et disposer d'au moins un camion vidangeur aménagé conformément à la législation en vigueur). - L'Annexe 4 de l'accord entre la Confédération suisse et la Communauté européenne sur le transport de marchandises et de voyageurs par rail et par route conclu le 21 juin 1999 et entré en vigueur en Suisse le 1er juin 2002 ne s'applique pas au cas d'espèce, le champ d'application de cet acte législatif et celui du RIEEU étant complètement indépendants l'un de l'autre. L'accord ne vient ainsi pas invalider le RIEEU, de même que celui-ci ne viole en rien cet accord (consid. 2). - L'art. 16 RIEEU ne constitue pas une violation du principe de la liberté économique. La restriction qu'elle prévoit est fondée sur une base légale formelle, justifiée par un intérêt public prépondérant et proportionnée. Il n'existe pas de situation de monopole ni de violation du principe de l'égalité de traitement, toutes les entreprises actives dans le domaine et souhaitant bénéficier du statut d'entreprise spécialisée devant remplir les conditions qui y sont prévues (consid. 3 et 4). Rejet du recours. Recours au TF admis (1C_281/2021 du 21 juin 2022).</w:t>
      </w:r>
    </w:p>
    <w:p>
      <w:pPr>
        <w:pStyle w:val="Heading2"/>
      </w:pPr>
      <w:r>
        <w:t>Erwägungen</w:t>
      </w:r>
    </w:p>
    <w:p>
      <w:r>
        <w:rPr>
          <w:b/>
        </w:rPr>
        <w:t>E. 1</w:t>
      </w:r>
    </w:p>
    <w:p>
      <w:r>
        <w:t>Déposé en temps utile, le recours satisfait en outre aux exigences formelles énoncées aux art. 79 et 99 de la loi sur la procédure administrative (LPA-VD; BLV 173.36). Il y a donc lieu d'entrer en matière sur le fond.</w:t>
      </w:r>
    </w:p>
    <w:p>
      <w:r>
        <w:rPr>
          <w:b/>
        </w:rPr>
        <w:t>E. 2</w:t>
      </w:r>
    </w:p>
    <w:p>
      <w:r>
        <w:t>al. 1), au transport ferroviaire international de voyageurs et de marchandises, ainsi qu’au transport combiné international (art. 2 al. 2) et aux transports effectués par des entreprises de transport routier ou par des entreprises ferroviaires établies dans l’une des Parties contractantes (art. 2 al. 3). Aux termes de l'Annexe 4 de cet accord, intitulé " Transports et déplacements à vide effectués en relation avec ces transports qui sont libérés de tout régime de licence et de toute autorisation de transport ", les transports de marchandises par véhicule automobile dont la masse en charge autorisée, y compris celle des remorques, ne dépasse pas 3,5 tonnes sont libérés de tout régime de licence et de toute autorisation de transport (art. 1). Il en va de même des transports de marchandises par véhicule automobile dans la mesure où les marchandises transportées appartiennent à l’entreprise ou ont été vendues, achetées, données ou prises en location, produites, extraites, transformées ou réparées par elle (art. 4 let. a). g) aa) Il n'est pas contestable, ni au reste contesté par l'autorité intimée, que le droit international prime sur le droit fédéral et le droit cantonal conformément à l'art. 5 al. 4 de la Constitution fédérale (Cst; RS 101). Cependant, force est de constater que l'Accord dont la recourante invoque la violation ne s'applique pas au cas d'espèce. En effet, il ressort de ses articles 1 et 2 qu'il ne porte que sur les transports bilatéraux routiers de voyageurs et de marchandises, sur le transit de ceux-ci sur le territoire des parties contractantes, sur les opérations de transports routiers de marchandises et de voyageurs à caractère triangulaire et sur le grand cabotage pour la Suisse, le but de cet Accord étant d'assurer un écoulement plus efficace du trafic en libéralisant l'accès des parties contractantes à leur marché des transports routier et ferroviaire des marchandises et des voyageurs et de déterminer les modalités d'une politique coordonnée des transports. Le RIEEU, qui se réfère à la loi fédérale sur la protection des eaux et à la loi vaudoise sur la protection des eaux contre la pollution, fixe pour sa part les exigences pour qu'une entreprise puisse être autorisée à pratiquer l'activité de vidangeur sur le territoire vaudois. Le but du RIEEU apparaît ainsi être la protection de l'environnement, et plus particulièrement la protection des eaux, ce dont l'Accord ne se préoccupe en aucun cas, hormis s'agissant des normes écologiques à introduire pour les véhicules utilitaires afin de réduire les gaz d’échappement, les particules et le bruit émis par les véhicules utilitaires lourds (art. 44). Les champs d'application de ces deux actes législatifs sont ainsi complètement indépendants l'un de l'autre. L'Accord ne vient ainsi pas invalider le RIEEU, de même que celui-ci ne viole en rien cet Accord. bb) Dans sa réplique, la recourante soutient encore que l'exercice du métier de vidangeur ne peut pas être conditionné à une licence de transporteur si elle dispose d'un véhicule complètement équipé au sens de l'art. 5 al. 2 let. b RIEEU, l'activité de vidangeur ne pouvant être délimitée qu'en lien avec les qualifications et les compétences de la personne prétendant à cette fonction et en conclut que l'exigence posée à l'art. 5 al. 2 let. a RIEEU dépasse le cadre fixé par le droit fédéral et international. Outre le fait que, comme on l'a vu, l'Accord ne s'applique pas en l'espèce, la Cour de céans relève que la recourante perd de vue qu'elle ne dispose de toute façon pas, contrairement à ce qu'elle soutient, d'un camion vidangeur conforme aux exigences de l'art. 16 al. 2 let. b RIEEU. On précisera à ce stade que c'est bien cette dernière disposition qui s'applique en l'espèce s'agissant du statut d'entreprise spécialisée dans la vidange des séparateurs de graisses et d'hydrocarbures qui a été refusé à la recourante par la décision querellée et non l'art. 5 al. 2 let. b RIEEU qui traite pour sa part des vidanges d'installations d'épuration des eaux usées ménagères. L'exemple développé par la recourante n'est pour le surplus pas pertinent dès lors que qu'une société, qu'elle soit française, allemande ou vaudoise, ne pourrait pas obtenir l'autorisation refusée si elle ne répond pas aux dispositions topiques du RIEEU, lequel s'applique à toutes les entreprises actives sur le territoire vaudois. cc) Le raisonnement exposé sous lettre g) aa) ci-dessus peut également être développé s'agissant de l'argument de la recourante tiré du chiffre 4 de l'Annexe 4 de l'Accord. En effet, celui-ci s'applique uniquement aux transports internationaux de marchandises par véhicule automobile. Il n'est en rien applicable à la clause de police prévue par le RIEEU dont on répète qu'il a pour but la protection de l'environnement dans le cadre d'une activité spécifique. Une réglementation plus stricte en la matière se justifie de par ce but, mais également en raison du fait que les entreprises de vidange ont pour but principal d'assainir une installation, l'acheminement des liquides vidangés vers un centre destiné à les éliminer n'en constituant que le corollaire. L'activité principale, à savoir la vidange, autorise ainsi une réglementation particulière. Partant, mal fondés, ces griefs doivent être rejetés.</w:t>
      </w:r>
    </w:p>
    <w:p>
      <w:r>
        <w:rPr>
          <w:b/>
        </w:rPr>
        <w:t>E. 3</w:t>
      </w:r>
    </w:p>
    <w:p>
      <w:r>
        <w:t>La recourante soutient ensuite que l'autorité intimée créerait une forme de concurrence déloyale et d'encouragement au monopole en favorisant les grandes sociétés et estime que le fait de posséder des camions pouvant se charger de la vidange de séparateurs de graisses avec un contenu de 10 tonnes n'a aucun rapport avec la licence de transporteur. A cet égard, elle estime que la licence de transporteur prévue dans la LEnTR donne une définition de l'entreprise de transport de marchandises par route qui n'a aucun rapport avec l'activité qu'elle déploie puisqu'elle utilise des véhicules ne dépassant pas un poids total de 3,5 tonnes et que la matière à transporter ne dépasse pas non plus ce poids. Elle estime ainsi que l'autorité intimée confond deux choses bien distinctes, soit le type de véhicule et le type de permis de conduire. a) La Cour de céans relève en premier lieu que c'est bien la recourante qui confond deux notions distinctes et non l'autorité intimée. En effet, il ressort clairement de la décision entreprise que le refus de l'obtention du statut d'entreprise spécialisée repose sur deux manquements: le fait de ne pas disposer d'un camion vidangeur aménagé conformément à la législation en vigueur et le fait de ne pas être au bénéfice d'une licence de transporteur. Il ressort de cette décision, et de l'art. 16 RIEEU, que le simple fait de ne pas remplir l'une ou l'autre des conditions peut fonder le refus du statut d'entreprise spécialisée. Ainsi, le simple fait pour la recourante de ne pas disposer d'un camion de plus de 3,5 tonnes, mais uniquement d'un véhicule de livraison (au sens des art. 11 et 12 OETV), ce qu'elle ne conteste pas, justifiait le refus, les développements de la recourante sur les dispositions de la LEnTR n'étant pas pertinents en l'espèce. b) Sans que l'on ne comprenne vraiment pourquoi, la recourante lie ce moyen à une forme de concurrence déloyale et à une atteinte à sa liberté économique. Dans sa réplique, la recourante tente encore de soutenir que l'autorité intimée aurait dû expliquer en quoi il serait indispensable pour la recourante de disposer d'un véhicule dont le poids total brut dépasse les 3,5 tonnes. aa) Aux termes de l' art. 27 Cst. ,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(ATF 143 II 598 consid. 5.1; 137 I 167 consid. 3.1; 135 I 130 consid. 4.2). Elle peut être invoquée tant par les personnes physiques que par les personnes morales (ATF 143 II 598 consid. 5.1; 135 I 130 consid. 4.2; TF 2C_441/2015 du 11 janvier 2016 consid. 7.1, résumé in sic! 4/2006 p. 222). La liberté économique comprend également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II 598 consid. 5.1 p. 612 s.; 143 I 37 consid. 8.2 p. 47). On entend par concurrents directs les membres de la même branche économique qui s'adressent avec les mêmes offres au même public pour satisfaire les mêmes besoins. L'égalité de traitement entre concurrents directs n'est pas absolue et autorise des différences, à condition que celles-ci reposent sur une base légale, qu'elles répondent à des critères objectifs, soient proportionnées et résultent du système lui-même; il est seulement exigé que les inégalités ainsi instaurées soient réduites au minimum nécessaire pour atteindre le but d'intérêt public poursuivi (ibid.). Aux termes de l'art. 36 al. 1 Cst., toute restriction d'un droit fondamental doit être fondée sur une base légale; les restrictions graves doivent être prévues par une loi (ATF 139 I 280 consid. 5.1 et les références). La gravité de l'atteinte doit être appréciée objectivement et non pas en fonction de l'impression subjective du destinataire (ATF 137 II 371 consid. 6.2). En outre, toute restriction d'un droit fondamental doit être justifiée par un intérêt public ou par la protection d'un droit fondamental d'autrui et être proportionnée au but visé (cf. art. 36 al. 2 et 3 Cst.; TF 2C_220/2017 du 25 août 2017 consid. 4.2). Sous l'angle de l'intérêt public, sont autorisées les mesures d'ordre public, de politique sociale ainsi que les mesures dictées par la réalisation d'autres intérêts publics (cf. ATF 143 I 388 consid. 2.1 p. 392; 143 I 403 consid. 5.2 p. 407). Sont en revanche prohibées les mesures de politique économique ou de protection d'une profession qui entravent la libre concurrence en vue de favoriser certaines branches professionnelles ou certaines formes d'exploitation (ATF 143 I 403 consid. 5.2 p. 407 et les références citées).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143 I 408 consid. 5.6.3; ATF 142 I 76 consid. 3.5.1; ATF 138 I 331 consid. 7.4.3.1). Ainsi, la jurisprudence constante ne prohibe pas d'exiger certaines garanties de la part d'une corporation, pour autant que les conditions rappelées ci-dessus soient remplies. bb) En l'espèce, le contrôle de l'activité de vidangeur est directement prévu par la LEaux, dont l'art. 22 dispose que les installations contenant des liquides de nature à polluer les eaux ne peuvent être vidées que par des personnes qui garantissent, de par leur formation, leur équipement et leur expérience, le respect de l'état de la technique. Ce contrôle est également prévu dans la loi cantonale, puisque l'art. 11 LPEP dispose que le département peut, en tout temps, imposer les mesures spéciales de prévention aux entreprises présentant des risques particuliers. De même, les art. 32 et 33 LPEP prévoient pour l'un que le département exerce la surveillance générale des vidanges des installations particulières et pour l'autre que les matières liquides qui, par leur nature, leur température ou leur concentration, présentent un danger pour la conservation des ouvrages ou entravent le bon fonctionnement de l'installation d'épuration, sont préalablement soumises à un traitement approprié, approuvé par le département. Quant à l'art. 52, il dispose que le département organise et surveille l'élimination des liquides qui ne peuvent être déversés dans les canalisations. Le RIEEU précise à cet égard quelles sont les conditions précises qui sont exigibles afin d'atteindre le but de protection des eaux. Le règlement ne contient ainsi que des normes d'exécution en vue de l'application de la loi. Dans ce cadre, on ne saurait considérer que les dispositions réglementaires d'application en cause occasionneraient une atteinte grave aux droits fondamentaux et autres libertés de la recourante, quoi qu'elle en dise (étant rappelé que la gravité de l'atteinte doit être appréciée objectivement et non pas en fonction de l'impression subjective du destinataire). L'éventuelle atteinte à la liberté économique de la recourante est ainsi directement prévue dans la loi et liée au fait que l'activité en cause est soumise à autorisation. cc) Les conditions posées par le RIEEU sont en outre justifiées par l'intérêt public prépondérant que constitue la protection de l'environnement et plus particulièrement la protection des eaux. Cet intérêt apparaît suffisamment important pour justifier une éventuelle atteinte à la liberté économique de la recourante. En effet, comme le relève à juste titre l'autorité intimée, la protection de chacun, et plus largement celle de l'environnement, commande que les entreprises de vidange puissent répondre en tout temps aux demandes de n'importe quelle entreprise, y compris les plus grandes, faute de quoi il y aurait un risque concret pour l'environnement. On ne voit ainsi en particulier pas que l'environnement puisse risquer d'être menacé si la recourante devait refuser un mandat urgent faute pour elle de disposer des moyens adéquats pour l'exécuter. A contrario, si cette condition ne figurait pas dans le RIEEU, cela reviendrait à empêcher tous les séparateurs de plus grande importance d'être vidangés, aucune entreprise ne possédant un camion d'un tonnage suffisant pour ce faire. La recourante admettant elle-même que cela représente environ 20% des établissements publics, et on ne parle encore pas là des séparateurs d'hydrocarbures, une telle hypothèse mettrait alors concrètement en danger l'environnement. Il en irait au reste de même d'une vidange en plusieurs étapes. On rappellera finalement ici que le transport de déchets spéciaux et de déchets soumis à contrôle doit également répondre aux normes fédérales de protection qui fondent l'obligation de les transporter dans des camions de plus de 3,5 tonnes par souci de sécurité. dd) Quant à la proportionnalité des conditions posées par le RIEEU, il apparaît qu'elles sont, d'une part, aptes à atteindre le but visé et, d'autre part, nécessaires pour ce faire. Force est en effet de constater que l'objectif de la protection des eaux ne peut être atteint par des mesures moins incisives que celles posées par le RIEEU puisque, on l'a vu, l'exigence de posséder un camion de plus de 3,5 tonnes notamment, permet à la société de vidange de répondre à toutes les demandes et en tout temps, prévenant ainsi un éventuel risque de pollution en cas de non intervention. De même, le transport de déchets spéciaux par de tels véhicules est également imposé pour des raisons de sécurité. On soulignera en outre que les conditions posées par le RIEEU ne constituent en elles-mêmes pas des restrictions graves et sont admissibles sous l'angle du principe de la proportionnalité au sens étroit. ee) On ne voit pour le surplus pas en quoi les dispositions litigieuses créeraient une situation de monopole. En effet, toutes les entreprises de vidange souhaitant développer leur activité dans le canton de Vaud sont soumises aux exigences du RIEEU, de sorte qu'elles sont dans une situation de concurrence tout à fait saine. Au vu de ce qui précède, ce grief, mal fondé, doit être rejeté.</w:t>
      </w:r>
    </w:p>
    <w:p>
      <w:r>
        <w:rPr>
          <w:b/>
        </w:rPr>
        <w:t>E. 4</w:t>
      </w:r>
    </w:p>
    <w:p>
      <w:r>
        <w:t>La recourante soutient encore que la décision entreprise violerait le principe de l'égalité de traitement. Elle indique à cet égard qu'une société concurrente utiliserait le même type de véhicule que celui qu'elle utilise et que celui qu'elle a commandé. Dans sa réplique, elle fait en outre valoir que si l'activité de vidangeur était limitée aux véhicules dépassant le poids total de 3,5 tonnes, l'autorité intimée devrait interdire tout véhicule présentant une capacité moindre. a) S'agissant en premier lieu du camion que la recourante dit avoir commandé, la Cour de céans relève qu'elle ignore si ce véhicule est aujourd'hui propriété de la recourante, celle-ci se contentant d'indiquer qu'il est " en cours de commande ". Dans ces conditions, la Cour de céans n'a pas à se pencher sur les caractéristiques de celui-ci ni à examiner la conformité de la décision entreprise s'agissant de ce futur nouveau camion. Il appartiendra à la recourante, si elle juge que ce camion remplit les conditions pour l'obtention du statut d'entreprise spécialisée dans la vidange de séparateurs de graisses et d'hydrocarbures, de déposer une nouvelle demande auprès de l'autorité intimée. Cela étant, la Cour de céans relève d'ores et déjà que les pièces produites figurant au dossier semblent faire état d'un poids ne dépassant pas 3,5 tonnes, de sorte que le problème demeure le même que pour le camion actuel de la recourante. b) aa) 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141 I 153 consid. 5.1 p. 157; 140 I 77 consid. 5.1 p. 80; 134 I 23 consid. 9.1 p. 42). bb) En l'espèce, on ne voit pas en quoi le principe de l'égalité de traitement aurait été violé. En effet, comme on l'a vu, les conditions posées par l'art. 16 RIEEU s'imposent à toutes les entreprises actives dans la vidange de séparateurs de graisses et d'hydrocarbures. Le fait qu'une société concurrente dispose de camions identiques à celui utilisé actuellement par la recourante n'y change rien. Par ailleurs, ce qui est reproché à cette dernière est le fait de ne pas disposer d'un camion vidangeur de plus de 3,5 tonnes, mais également de ne pas être au bénéfice d'une licence de transporteur. Le fait que le seul véhicule à disposition de la recourante ne dépasse pas 3,5 tonnes ne constitue que l'un des manquements retenus. Si la recourante disposait d'un autre camion vidangeur remplissant les conditions légales, ce qui impliquerait qu'elle doive aussi être au bénéfice d'une licence de transporteur au sens de l'OTVM, elle pourrait ainsi développer son activité également avec son camion actuel, ce qui est probablement le cas de la société concurrente qu'elle cite. On relèvera en outre à cet égard que la recourante ne prouve en rien ses affirmations à cet égard. Ainsi, en soutenant que l'autorité intimée devrait interdire tout véhicule présentant une capacité moindre que 3,5 tonnes, la recourante perd de vue que la loi prévoit que le vidangeur doit disposer d'au moins un camion aménagé selon la législation en vigueur. Cela ne l'empêche pas d'exercer sa profession avec d'autres véhicules plus petits lorsqu'il doit vidanger des séparateurs de graisses ou d'hydrocarbures moins importants. Le fait que l'OETV ne soit pas citée en préambule du RIEEU ne change rien au fait que l'art. 16 al. 2 let. b de ce règlement se réfère à la " législation en vigueur ", soit précisément l'OETV qui, à son art. 11, sous le titre " voitures automobiles de transport selon le droit suisse ", distingue les voitures de livraison des camions. S'agissant de l'exigence d'un tel camion, force est de constater qu'elle est légitimée par le but du RIEEU, soit la protection de l'environnement et des eaux. Les déchets présents en partie dans les hydrocarbures pouvant être considérés comme matière dangereuse et ceux présents dans les séparateurs de graisses alimentaires issues de la restauration comme des déchets soumis à contrôle, il se justifie en outre, par souci de sécurité, que leur transport soit assuré dans des véhicules correspondant aux normes fédérales. On soulignera enfin que si le statut d'entreprise spécialisée dans la vidange de séparateurs de graisses et d'hydrocarbures devait être accordé à la recourante nonobstant le non-respect de l'une des conditions du RIEEU, il y aurait alors une inégalité de traitement manifeste entre elle et les autres entreprises ayant obtenu ce statut qui, elles, ont respecté les normes en vigueur et ont consenti des frais à cet effet. En définitive, ce grief, mal fondé, tombe à faux.</w:t>
      </w:r>
    </w:p>
    <w:p>
      <w:r>
        <w:rPr>
          <w:b/>
        </w:rPr>
        <w:t>E. 5</w:t>
      </w:r>
    </w:p>
    <w:p>
      <w:r>
        <w:t>La Cour de céans relève enfin que les considérations générales de la recourante sur l'expérience professionnelle de son associé gérant ne changent rien aux appréciations qui précèdent. Quand bien même il n'est pas nié que ce dernier dispose des connaissances professionnelles lui permettant d'exercer son activité dans les règles de l'art, il n'en demeure pas moins que sa société ne remplit pas toutes les conditions posées par le RIEEU. Il en va de même s'agissant du moyen lié à l'attestation de collaboration signée par la recourante avec E.________. En effet, le texte du RIEEU est parfaitement clair en ce sens qu'il prévoit que ce sont les entreprises de vidange de séparateurs elles-mêmes qui doivent remplir les conditions qui figurent à son art. 16 et non les tiers avec lesquels ils collaborent éventuellement. La protection de l'environnement impose ainsi qu'une seule entreprise réunisse toutes les conditions prévues par le RIEEU. On ne voit en effet pas, compte tenu des risque que cela implique et qui seraient ainsi démultipliés, qu'une entreprise ne remplisse que partiellement les conditions du RIEEU et s'associe à d'autres entreprises qui ne remplissent elles aussi que certaines de ces conditions. Il en va au reste de l'égalité de traitement envers les autres entreprises au bénéfice du statut d'entreprise spécialisée dans la vidange des séparateurs de graisses et d'hydrocarbures qui, elle réunissent à elles seules toutes les conditions prévues par le RIEEU. Dans ces conditions, peu importe que la recourante s'adjoigne parfois les services d'une entreprise individuelle externe qui remplirait certaines des conditions prévues par le RIEEU. En définitive, l'autorité intimée n'a pas violé son pouvoir d'appréciation en rendant la décision litigieuse.</w:t>
      </w:r>
    </w:p>
    <w:p>
      <w:r>
        <w:rPr>
          <w:b/>
        </w:rPr>
        <w:t>E. 6</w:t>
      </w:r>
    </w:p>
    <w:p>
      <w:r>
        <w:t>Au final, il résulte des considérants qui précèdent que le recours, mal fondé, doit être rejeté et la décision attaquée confirmée. Les mesures provisionnelles accordées le 29 juillet 2020 sont dès lors caduques. Un émolument de 2'000 fr. est mis à la charge de la recourante qui succombe (art. 49 al. 1 LPA-VD; art. 1 et 4 al. 1 du Tarif des frais judiciaires et des dépens en matière administrative; BLV 173.36.5.1). Il n'y a pas lieu à l'allocation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