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GE.2020.0080 vom 19. Februar 2021</w:t>
      </w:r>
    </w:p>
    <w:p>
      <w:r>
        <w:t>VD Tribunal cantonal, 2021-02-19, FR</w:t>
      </w:r>
    </w:p>
    <w:p>
      <w:r>
        <w:rPr>
          <w:b/>
        </w:rPr>
        <w:t xml:space="preserve">Quelle: </w:t>
      </w:r>
      <w:r>
        <w:t>https://mcp.opencaselaw.ch/entscheid/vd_omni_GE.2020.0080</w:t>
      </w:r>
    </w:p>
    <w:p>
      <w:r>
        <w:t>FR: VD_OMNI GE.2020.0080 du 19 février 2021</w:t>
      </w:r>
    </w:p>
    <w:p>
      <w:r>
        <w:t>IT: VD_OMNI GE.2020.0080 del 19 febbraio 2021</w:t>
      </w:r>
    </w:p>
    <w:p>
      <w:pPr>
        <w:pStyle w:val="Heading2"/>
      </w:pPr>
      <w:r>
        <w:t>Regeste</w:t>
      </w:r>
    </w:p>
    <w:p>
      <w:r>
        <w:t>A.________/Municipalité de Montreux | Recourante qui conteste le refus de lui transmettre un rapport d'expertise quant à la valeur d'une parcelle communale cédée à un tiers. Rapport transmis par l'autorité intimée suite au dépôt du recours. Recourante qui soutient qu'il ne s'agit pas du rapport qu'elle avait requis. En partant du principe que l'administration est liée par le principe de la bonne foi et compte tenu des affirmations répétées de l'autorité intimée devant le tribunal, celui-ci retient que l'autorité a bien transmis le seul rapport qu'elle détient. La requête de la recourante, fondée sur la LInfo, a ainsi été satisfaite et son intérêt n'est plus actuel. Recours déclaré sans objet. Bien que la recourante ait décidé de maintenir son recours et succombe au final, elle a dû déposer un recours pour obtenir l'expertise requise, ce qui justifie de compenser les dépens.</w:t>
      </w:r>
    </w:p>
    <w:p>
      <w:pPr>
        <w:pStyle w:val="Heading2"/>
      </w:pPr>
      <w:r>
        <w:t>Erwägungen</w:t>
      </w:r>
    </w:p>
    <w:p>
      <w:r>
        <w:rPr>
          <w:b/>
        </w:rPr>
        <w:t>E. 1</w:t>
      </w:r>
    </w:p>
    <w:p>
      <w:r>
        <w:t>L'art. 21 al. 1 de la loi du 24 septembre 2002 sur l'information (LInfo; BLV 170.21) prévoit que le recours contre les décisions rendues en vertu de cette loi peut être formé soit devant le Préposé à la protection des données et à l'information, soit directement devant le Tribunal cantonal. Le Tribunal est ainsi compétent pour traiter du présent recours. L'existence d'une décision susceptible de recours, contestée par la recourante, sera examinée ci-après (consid. 3). Déposé dans le délai de 30 jours fixé par l'art. 95 LPA-VD, applicable par renvoi de l'art. 27 al. 3 LInfo, le recours a été interjeté en temps utile. Le recours satisfait en outre aux conditions formelles énoncées par l'art. 79 LPA-VD (par renvoi de l'art. 99 LPA-VD). La LInfo, dont le but est de respecter la libre formation de l'opinion publique, octroie à toute personne le droit d'obtenir de l'autorité compétente l'information qu'elle a demandée (cf. art. 8 LInfo). Ainsi, du moment que la recourante soutient s'être vu refuser les informations auxquelles elle prétend avoir droit, elle justifie d'un intérêt juridiquement protégé par la loi sur l'information à faire contrôler cette décision par la cour de céans. Il convient encore d'examiner si cet intérêt est actuel. 2.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(ATF 139 I 206 consid. 1.1 p. 208 et la jurisprudence citée; PE.2014.0247 du 15 novembre 2015 consid. 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aussi arrêt AC.2017.0205 du 18 octobre 2018 consid. 1a). b) aa) En l'espèce, l'autorité intimée estime avoir répondu à la requête de la recourante en lui transmettant une expertise immobilière, datée de 2012, qui est selon ses affirmations la seule existante. La recourant estime que sa demande n'a pas été satisfaite vu qu'elle requérait une expertise datant vraisemblablement de 2015 ou 2016. bb) Selon l'art. 10 al. 1 LInfo, la demande d'information n'est soumise à aucune exigence de forme; elle n'a pas à être motivée, mais elle doit contenir des indications suffisantes pour permettre l'identification du document officiel recherché. L'Exposé de motifs et projet de loi sur l'information précise à cet égard qu'étant donné l'examen parfois approfondi qui doit être mené face à une demande (pesée des intérêts en présence, caractère officiel du document selon les critères établis, caviardage éventuel de données personnelles sensibles), la demande doit être suffisamment précise pour permettre aux autorités de procéder à l'examen en question et de trouver le document officiel demandé (cf. Bulletin du Grand Conseil septembre-octobre 2002 p. 2649 ad art. 10). En droit fédéral, l'art. 10 al. 3 de la loi du 17 décembre 2004 sur le principe de la transparence dans l'administration (LTrans; RS 152.3) prévoit dans le même sens que " la demande doit être formulée de manière suffisamment précise " (cf. ég. art. 7 al. 2, 1 ère phrase, de l'ordonnance fédérale du 24 mai 2006 sur le principe de la transparence dans l'administration [OTrans; RS 152.31], dont il résulte que la demande " doit contenir des indications suffisantes pour permettre à l’autorité d’identifier le document demandé "; voir aussi le Message du Conseil fédéral relatif à la LTrans du 12 février 2003, FF 2003 1807, ch. 2.3.2.1 p. 1861). L'exigence d" indications suffisantes pour permettre l'identification du document officiel recherché " exclut a priori que la LInfo puisse ouvrir la porte à des recherches indéterminées de documents ou de moyens de preuve ( fishing expedition ). Dans le domaine proche de la protection des données, le Tribunal fédéral a ainsi relevé qu'une requête qui ne constituerait qu'un prétexte à une recherche indéterminée de moyens de preuve pourrait relever de l'abus de de droit (cf. ATF 141 III 119 consid. 7.1.1 p. 128, concernant une demande fondée sur l'art. 8 LPD; voir aussi arrêt TF 4A_277/2020 du 18 novembre 2020). cc) Aux vu des exigences précitées, force est de constater préalablement que l'autorité intimée s'est conformée à l'esprit de la loi en transmettant à la recourante une expertise de 2012, alors que celle-ci formellement ne requérait qu'une expertise de "2015 ou 2016". La recourante soutient toutefois que l'autorité intimée disposerait d'une ou plusieurs autres expertises, plus récentes, qu'elle se refuserait à transmettre. Ces allégations ne sont pas prouvées. Certes, la preuve de l'existence d'un document est difficile à apporter pour la personne qui n'a précisément pas accès aux dossiers de l'administration (cf. François Chaix, Le principe de la transparence de l’administration dans la jurisprudence du Tribunal fédéral, Actes du 4 ème colloque scientifique ASDPO, 17 janvier 2020, p. 64). Cela étant, en partant du principe que l'administration est liée par le principe de la bonne foi et compte tenu des affirmations répétées de l'autorité intimée devant l'instance judiciaire de céans, il n'y a pas lieu, en l'absence de tout indice allant dans ce sens, de considérer que, en l'espèce, les affirmations de la municipalité selon lesquelles il n'y a pas eu d'autre rapport d'expertise tendant à valoriser la parcelle n° 2734 que le rapport C.___________ de 2012 sont mensongères. Les prétendues incohérences pointées du doigt par la recourante ont été expliquées par l'autorité intimée. Concernant l'estimation de la valeur du terrain, celle-ci explique que la surface de la parcelle n° 2734 étant de 755 m</w:t>
      </w:r>
    </w:p>
    <w:p>
      <w:r>
        <w:rPr>
          <w:b/>
        </w:rPr>
        <w:t>E. 2</w:t>
      </w:r>
    </w:p>
    <w:p>
      <w:r>
        <w:t>est de 990 fr., qu'elle a arrondis à 1'000 fr. dans le préavis n° 30/2016. Quant à l'argument selon lequel les dates ne correspondraient pas entre les pièces produites à l'appui du recours et la date de l'expertise, le tribunal ne voit pas ce que la recourante veut dire, dès lors qu'aucune date en lien avec une expertise n'est mentionnée dans les pièces produites. Au vu de ce qui précède, le tribunal considère que l'autorité intimée a transmis l'expertise demandée à la recourante et que la requête de celle-ci, fondée sur la LInfo, a été satisfaite. Son intérêt n'est donc plus actuel. On ne se trouve par ailleurs pas dans une situation dans laquelle le juge devrait renoncer exceptionnellement à l'exigence d'un intérêt actuel au recours, ceci en particulier car la contestation à la base de la décision attaquée n'est pas susceptible de se reproduire en tout temps dans des circonstances identiques ou analogues. Le recours est par conséquent sans objet à cet égard. Il n'y a ainsi pas lieu de donner suite à la demande d'instruction formulée par la recourante tendant à que C.___________ produise la ou les expertises effectuées pour le compte de la Commune de Montreux, concernant la parcelle n° 2734. De même, Il n'y a pas lieu de donner suite à la requête de la recourante tendant à la production des différents échanges de courriers ou de courriels ayant pu avoir lieu entre l'autorité intimée et l'expert immobilier. 3.                Il ressort de ce qui précède que, dès lors que l'intérêt digne de protection de la recourante a disparu en cours de procédure, le recours est sans objet. Dans ces circonstances, il n'est pas nécessaire d'examiner si les courriers du mandataire de l'autorité intimée peuvent  être considérés comme des décisions susceptibles de recours au sens de l'art. 3 LPA-VD. Conformément à l'art. 27 LInfo, la procédure est gratuite. Il ne sera pas prélevé de frais de procédure. Bien que la recourante ait décidé de maintenir son recours et succombe au final, force est néanmoins de constater qu'elle a dû déposer un recours pour obtenir l'expertise requise. Il convient dès lors de compenser les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