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GE.2020.0041 vom 11. November 2021</w:t>
      </w:r>
    </w:p>
    <w:p>
      <w:r>
        <w:t>VD Tribunal cantonal, 2021-11-11, FR</w:t>
      </w:r>
    </w:p>
    <w:p>
      <w:r>
        <w:rPr>
          <w:b/>
        </w:rPr>
        <w:t xml:space="preserve">Quelle: </w:t>
      </w:r>
      <w:r>
        <w:t>https://mcp.opencaselaw.ch/entscheid/vd_omni_GE.2020.0041</w:t>
      </w:r>
    </w:p>
    <w:p>
      <w:r>
        <w:t>FR: VD_OMNI GE.2020.0041 du 11 novembre 2021</w:t>
      </w:r>
    </w:p>
    <w:p>
      <w:r>
        <w:t>IT: VD_OMNI GE.2020.0041 del 11 novembre 2021</w:t>
      </w:r>
    </w:p>
    <w:p>
      <w:pPr>
        <w:pStyle w:val="Heading2"/>
      </w:pPr>
      <w:r>
        <w:t>Regeste</w:t>
      </w:r>
    </w:p>
    <w:p>
      <w:r>
        <w:t>A.________ /Commission de recours individuel, Municipalité de Lausanne | Recours d'une fonctionnaire communale contre la confirmation du positionnement de son poste (infirmière en santé au travail) au niveau 8 de la chaîne 211. Rejet du grief de violation du droit d'être entendu et des réquisitions de mesures d'instruction. Sur le fond, il n'est pas établi qu'il y ait une différence significative entre le projet de description de poste de 2013 – sur la base duquel la fonction de la recourante a été classée – et la description définitive de 2016. Les exigences relatives à la fonction de conseillère en insertion professionnelle ne sont pas les mêmes que celles du poste de la recourante. Pas de discrimination à raison du sexe. Rejet du recours. Rejet du recours par arrêt du Tribunal fédéral 8C_817/2021 du 20 juin 2022.</w:t>
      </w:r>
    </w:p>
    <w:p>
      <w:pPr>
        <w:pStyle w:val="Heading2"/>
      </w:pPr>
      <w:r>
        <w:t>Erwägungen</w:t>
      </w:r>
    </w:p>
    <w:p>
      <w:r>
        <w:rPr>
          <w:b/>
        </w:rPr>
        <w:t>E. 1</w:t>
      </w:r>
    </w:p>
    <w:p>
      <w:r>
        <w:t>a) 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Selon l'art. 75 let. a LPA-VD, a qualité pour former recours notamment toute personne ayant pris part à la procédure devant l'autorité précédente, qui est atteinte par la décision attaquée et qui dispose d'un intérêt digne de protection à ce qu'elle soit annulée ou modifiée. b) En l'espèce, déposé en temps utile, le recours satisfait aux conditions formelles de recevabilité énoncées à l'art. 79 al. 1 LPA-VD, applicable par renvoi de l'art. 5 RPAC. Il y a donc lieu d'entrer en matière.</w:t>
      </w:r>
    </w:p>
    <w:p>
      <w:r>
        <w:rPr>
          <w:b/>
        </w:rPr>
        <w:t>E. 2</w:t>
      </w:r>
    </w:p>
    <w:p>
      <w:r>
        <w:t>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a)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Une définition de chaque critère principal et de chaque critère secondaire est proposée dans le "Guide – Grille des fonctions – Descriptifs de fonctions" (ci-après: le guide). Selon le guide,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En invocant l’art. 8 al. 3 Cst., la recourante se plaint d’une discrimination à raison du sexe. Elle fait valoir que la profession d'infirmier/ère est une profession typiquement féminine, au contraire de celle de CIP, qui serait neutre à raison du sexe. a) Aux termes de l’art. 8 al. 3 Cst., l’homme et la femme sont égaux en droit. La loi pourvoit à l’égalité de droit et de fait, en particulier dans les domaines de la famille, de la formation et du travail. L’homme et la femme ont droit à un salaire égal pour un travail de valeur égale. A teneur de l’art. 3 la loi fédérale du 24 mars 1995 sur l’égalité entre femmes et hommes (LEg; RS 151.1), il est interdit de discriminer les travailleurs à raison du sexe, soit directement, soit indirectement, notamment en se fondant sur leur état civil ou leur situation familiale ou, s’agissant de femmes, leur grossesse (al. 1). Il y a discrimination directe lorsque le traitement différent repose expressément sur le sexe ou sur un critère qui peut seulement être réalisé par l'un des deux genres et que la différence de traitement n'est pas justifiée. Il y a en revanche lieu d'admettre l'existence d'une discrimination indirecte lorsqu'une réglementation formellement neutre à raison du genre a néanmoins pour effet de désavantager de manière significative un nombre nettement plus important ou à tout le moins supérieur de représentants de l'un des deux sexes par rapport aux personnes de l'autre genre, sans que cela ne soit justifié objectivement (ATF 145 II 153 consid. 4.3.5 p. 161 et ATF cités). Dans les cas de discrimination indirecte, le critère utilisé peut s'appliquer à l'un ou l'autre sexe, mais il a ou peut avoir pour effet de désavantager une plus grande proportion de personnes d'un sexe par rapport à l'autre, sans que cela ne soit justifié objectivement (ATF 142 II 49 consid.</w:t>
      </w:r>
    </w:p>
    <w:p>
      <w:r>
        <w:rPr>
          <w:b/>
        </w:rPr>
        <w:t>E. 6.1</w:t>
      </w:r>
    </w:p>
    <w:p>
      <w:r>
        <w:t>p. 57; 141 II 411 consid. 6.1.2 p. 419 ; v. ég. arrêt TF 8C_605/2016 du 9 octobre 2017 consid. 6.1). L'atteinte doit revêtir une importance significative, le principe de l'interdiction de la discrimination indirecte ne pouvant servir qu'à corriger les effets négatifs les plus flagrants d'une réglementation étatique (ATF 145 I 73 consid. 5.1 pp. 86/87; 142 V 316 consid. 6.1.2 p. 323 s.; 138 I 265 consid. 4.2.2 p. 267). L’interdiction de toute discrimination s’applique notamment à l’embauche, à l’attribution des tâches, à l’aménagement des conditions de travail, à la rémunération, à la formation et à la formation continue, à la promotion et à la résiliation des rapports de travail (art. 3 al. 2 LEg). L’art. 5 LEg permet à quiconque subit ou risque de subir une discrimination au sens des art. 3 et 4 de requérir le tribunal ou l’autorité administrative: d’interdire la discrimination ou, d’y renoncer, si elle est imminente (let. a); de faire cesser la discrimination, si elle persiste (let. b); de constater l’existence de la discrimination, si le trouble qu’elle a créé subsiste (let. c); d’ordonner le paiement du salaire dû (let. d). Ces principes s'appliquent aussi bien aux relations de travail de droit privé que de droit public (ATF 142 II 49 consid. 5.1 p. 55; 141 II 411 consid. 6.1.2 in fine p. 419s.; 138 II 1 consid. 4.1 p. 3). L’art. 6 LEg allège le fardeau de la preuve, en ce sens que l’existence d’une discrimination est présumée pour autant que la personne qui s’en prévaut la rende vraisemblable; la présente disposition s’applique à l’attribution des tâches, à l’aménagement des conditions de travail, à la rémunération, à la formation et à la formation continue, à la promotion et à la résiliation des rapports de travail. Par rapport à la répartition ordinaire du fardeau de la preuve en droit civil fédéral (art. 8 CC), cette disposition facilite la preuve d'une discrimination à raison du sexe, en ce sens qu'il suffit à la partie demanderesse de rendre vraisemblable l'existence d'une pareille discrimination. La preuve au degré de la simple vraisemblance ne nécessite pas que le juge soit convaincu par les éléments qu'apporte la partie demanderesse; les faits allégués doivent simplement présenter une certaine vraisemblance au regard d'indices objectifs (ATF 142 II 49 consid. 6.2 p. 58; arrêts TF 4A_115/2011 du 28 avril 2011 consid. 5.1; 4A_449/2008 du 25 février 2009 consid. 3.1). Si la discrimination liée au sexe a été rendue vraisemblable, le fardeau de la preuve est renversé; il appartient alors à l'employeur de démontrer l'inexistence de la discrimination, en rapportant la preuve stricte que la différence de traitement repose sur des facteurs objectifs (ATF 144 II 65 consid. 4.2.1 p. 69; arrêt TF 8C_78/2009 du 31 août 2010 consid. 5.1, non publié dans ATF 136 II 393 ). Constituent des facteurs objectifs ceux qui peuvent influencer la valeur même du travail, comme la formation, l'ancienneté, la qualification, l'expérience, le domaine concret d'activité, les prestations effectuées, les risques encourus, le cahier des charges. Des disparités salariales peuvent également se justifier pour des motifs qui ne se rapportent pas immédiatement à l'activité en cause, mais qui découlent de préoccupations sociales, comme les charges familiales ou l'âge (ATF 130 III 145 consid. 5.2 p. 164; 127 III 207 consid. 3b p. 213 et consid. 3c p. 214; 125 III 368 consid. 4 p. 372 et consid. 5 p. 373). Une différence de salaire dans les comparaisons individuelles ou dans la classification des professions féminines est objectivement justifiée si elle repose sur des critères dits objectifs ou n'est pas motivée par le sexe (ATF 144 II 65 consid. 4.1 p. 69; 136 II 393 consid. 11.3 p. 397 avec références). Parmi les facteurs justifiant une différence salariale, la jurisprudence retient, dans une liste non exhaustive, notamment le cahier des charges et les tâches effectivement confiées; ces deux éléments ont pour but de définir l'importance qualitative et quantitative d'un poste et par conséquent le degré de formation, de qualification et d'expérience attendu de celui qui l'occupe (arrêt 2A.730/2006 du 3 septembre 2007 consid. 6). S'agissant de la vraisemblance d'une discrimination à raison du sexe, la jurisprudence distingue selon qu'elle intervient dans la classification générale de diverses fonctions au sein d'une échelle de traitement ou qu'elle intervient dans la fixation de la rémunération d'une personne déterminée comparée avec celle d'autres personnes du sexe opposé (arrêt TF 2A.730/2006 précité consid. 5.3). b) En l’occurrence, l’autorité concernée fait valoir que la recourante n'a pas rendu vraisemblable l'existence d'une discrimination à raison du sexe. Elle explique à cet égard que la fonction de CIP n'est en réalité pas une profession neutre du point de vue du sexe, puisqu’il s’agit, dans les faits, d’une profession féminine, tout comme celle de la recourante. La recourante conteste cela en relèvant qu’au sein de l’USST, ses collègues CIP sont tous de sexe masculin. L’autorité concernée précise qu’à la transition salariale au 31 décembre 2016, l'USST comprenait trois CIP, à savoir une femme et deux hommes. La question de savoir si la fonction de CIP est neutre à raison du sexe ou typiquement féminine peut rester indécise. On a vu en effet que les tâches et exigences relatives aux fonctions d'infirmier-ère en santé au travail, d'une part, et de conseiller/ère en insertion professionnelle (CIP), d'autre part, ne sont pas les mêmes (cf. consid. 5c ci-dessus). Au regard de ces facteurs objectifs, une différence salariale est justifiée, sans qu'il soit question de violation de l'interdiction de la discrimination à raison du sexe.</w:t>
      </w:r>
    </w:p>
    <w:p>
      <w:r>
        <w:rPr>
          <w:b/>
        </w:rPr>
        <w:t>E. 7</w:t>
      </w:r>
    </w:p>
    <w:p>
      <w:r>
        <w:t>Les considérants qui précèdent conduisent au rejet du recours et à la confirmation de la décision attaquée. Le sort du recours commande que la recourante supporte les frais de justice (cf. art. 49 al. 1, 91 et 99 LPA-VD et 4 al. 4 du tarif des frais judiciaires et des dépens en matière administrative, du 28 avril 2015 [TFJDA; BLV 173.36.5.1]).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