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GE.2020.0010 vom 29. April 2020</w:t>
      </w:r>
    </w:p>
    <w:p>
      <w:r>
        <w:t>VD Tribunal cantonal, 2020-04-29, FR</w:t>
      </w:r>
    </w:p>
    <w:p>
      <w:r>
        <w:rPr>
          <w:b/>
        </w:rPr>
        <w:t xml:space="preserve">Quelle: </w:t>
      </w:r>
      <w:r>
        <w:t>https://mcp.opencaselaw.ch/entscheid/vd_omni_GE.2020.0010</w:t>
      </w:r>
    </w:p>
    <w:p>
      <w:r>
        <w:t>FR: VD_OMNI GE.2020.0010 du 29 avril 2020</w:t>
      </w:r>
    </w:p>
    <w:p>
      <w:r>
        <w:t>IT: VD_OMNI GE.2020.0010 del 29 aprile 2020</w:t>
      </w:r>
    </w:p>
    <w:p>
      <w:pPr>
        <w:pStyle w:val="Heading2"/>
      </w:pPr>
      <w:r>
        <w:t>Regeste</w:t>
      </w:r>
    </w:p>
    <w:p>
      <w:r>
        <w:t>A.________/Service juridique et législatif | Rejet par le SJL d'une demande d'indemnité LAVI d'un ressortissant espagnol victime d'une tentative de brigandage en raison de la péremption. Recours de l'intérssé plaidant ne pas avoir été informé de ses droits en espagnol. Constat que la demande a été déposée plus de cinq ans après les faits. Rappel qu'une restitution de délai peut intervenir si la victime n'a pas été informée de ses droits. En l'espèce, victime entendue par la police en présence d'un interprète en espagnol, formulaire d'information remis à cette occasion et victime ayant confirmé par sa signature vouloir prendre contact avec le Centre LAVI. Eléments suffisants pour considérer que la victime avait été informée du délai de péremption de cinq ans. Recours rejeté.</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Le recourant conteste que le délai péremptoire prévu par la LAVI pour introduire une indemnisation puisse lui être opposé, dès lors qu'il n'a pas eu connaissance de ses droits, le formulaire LAVI lui ayant été communiqué dans une langue qu'il ne maîtrise pas. a) Aux termes de l'art. 1 LAVI, toute personne qui a subi, du fait d'une infraction, une atteinte directe à son intégrité physique, psychique ou sexuelle (victime) a droit au soutien prévu par la loi (al. 1). A teneur de l'art. 2 LAVI, l'aide aux victimes comprend notamment les conseils et l'aide immédiate (let. a), l'aide à plus long terme fournie par les centres de consultation (let. b), la contribution aux frais pour l'aide à plus long terme fournie par un tiers (let. c), l'indemnisation (let. d) et la réparation morale (let. e). Selon l'art. 25 al. 1 LAVI, la victime et ses proches doivent introduire leurs demandes d'indemnisation et de réparation morale dans un délai de cinq ans à compter de la date de l'infraction ou du moment où ils ont eu connaissance de l'infraction; à défaut, leurs prétentions sont périmées. Dans son Message du 9 novembre 2005, le Conseil fédéral a confirmé sa volonté de maintenir un délai de péremption (cf. art. 16a aLAVI), qui ne pouvait être interrompu (par opposition à un délai de prescription), estimant celui-ci adapté au système de la LAVI (FF 2005 p. 6747 et les références citées). Lorsque la victime a connaissance de l'infraction, respectivement de l'atteinte subie, le principe de la bonne foi suppose qu'elle fasse usage de ses droits dans un délai raisonnable. Elle doit, en effet, s'adresser sans retard à l'autorité, afin qu'elle puisse être assistée rapidement et que le dommage puisse être constaté et évalué sans difficultés majeures. Un délai de quelques semaines à plusieurs mois est considéré comme admissible, au regard des circonstances du cas d'espèce (Stéphanie Converset, Aide aux victimes d'infractions et réparation du dommage, thèse 2009, p. 332 et 333).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(ATF 129 II 409 consid. 2; 126 II 93 consid. 2 et 3). b) Il n'est pas contesté en l'occurrence que le recourant n'a pas respecté le délai de péremption de l'art. 25 al. 1 LAVI. L'agression dont il a été victime s'est en effet déroulée le 14 octobre 2012 et la demande d'indemnisation LAVI est intervenue en septembre 2019, près de sept ans plus tard, de sorte que les prétentions du recourant sont en principe périmées. c) La rigueur du délai de péremption de l'art. 25 al. 1 LAVI est toutefois tempérée par l'art. 8 al. 1 LAVI, à teneur duquel les autorités de poursuite pénale informent la victime sur l'aide aux victimes et transmettent, à certaines conditions, son nom et son adresse à un centre de consultation. La jurisprudence et à la pratique adoptées déjà sous l'empire de l'art. 16 aLAVI (RO 1992 2465), et poursuivies avec la nouvelle LAVI, ont déduit de cette obligation d'informer qu'une restitution du délai est possible lorsque la victime, de bonne foi, n'a jamais été informée de l'existence de ses droits et des moyens de les faire valoir. Il faut que la victime n'ait pas été en possession des moyens nécessaires à l'exercice efficace de ses droits (cf. ATF 129 II 409 consid. 2; 123 II 241 consid. 3; arrêt TF 1A.217/1997 du 8 décembre 1997, publié in Plaidoyer 1998 p. 64, consid. 5 p. 65; arrêts GE.2018.0255 du 22 mai 2019 consid. 3e; GE.2016.0171 du 30 décembre 2016; GE.2009.0084 du 2 février 2010; GE.2009.0086 du 2 février 2010; GE.2009.0088 du 2 février 2010; cf. également le Message relatif à la LAVI, FF 2005, p. 6748 et les références citées). On attribue une importance décisive au devoir de la police de signaler à la victime, lors de sa première audition, l'existence des centres de consultation chargés, notamment, de fournir des informations sur l'aide aux victimes et de les assister dans leurs démarches juridiques (art. 3 et 6 al. 1 aLAVI). Il s'agit d'un renversement de la présomption selon laquelle nul n'est censé ignorer la loi (ATF 131 IV 183 consid. 3.1.1 p. 187; 123 II 241 consid. 3e p. 244). En principe, la péremption ne peut donc pas faire échec à une demande lorsque l'information due à la victime a été omise (arrêt TF 1C_99/2015 du 18 novembre 2015 consid. 3.1; arrêt GE.2018.0255 du 22 mai 2019 consid. 3e). d) En l'espèce, la décision attaquée se borne à constater que le délai de péremption est échu. Devant la cour de céans, le recourant fait toutefois valoir qu'il n'avait pas connaissance de ce délai dès lors que l'information lui aurait été communiquée dans un premier temps seulement en français, langue qu'il ne comprenait pas. Ce n'est qu'à l'occasion du procès pénal de son agresseur qu'il aurait pris conscience de ses droits liés à sa qualité de victime. Il ressort du dossier pénal que, lors de son audition du 15 octobre 2012, le recourant a reçu un aide-mémoire concernant l'aide aux victimes d'infractions (question 13, p. 4). Ce formulaire rappelle expressément que les requêtes d'indemnisation et/ou de réparation morale doivent être déposées impérativement dans un délai de cinq ans à compter du jour de l'infraction. Le recourant soutient n'avoir pas compris la teneur de cette information en langue française. Toutefois, il ressort du dossier qu'il était alors assisté d'une interprète en langue espagnole qui lui a traduit les questions des policiers et leur a retranscrit ses réponses et qui était présente lors de la remise du formulaire LAVI. Certes, il ressort uniquement du procès-verbal d'audition que le formulaire LAVI a été remis au recourant et non pas que le contenu de celui-ci aurait été traduit en espagnol au recourant. Le recourant a toutefois clairement et en toute connaissance de cause indiqué à cette occasion, par sa signature, vouloir prendre lui-même contact avec le Centre LAVI. Il lui appartenait cas échéant de demander à l'interprète de traduire le contenu du formulaire en langue espagnole. Il faut ainsi retenir que le recourant a été correctement informé de son droit de pouvoir bénéficier des prestations de la LAVI et du délai dans lequel cette démarche doit être entreprise. N'ayant pas agi dans le délai péremptoire de cinq ans de l'art. 25 al. 1 LAVI, il est désormais déchu du droit de requérir une éventuelle indemnisation.</w:t>
      </w:r>
    </w:p>
    <w:p>
      <w:r>
        <w:rPr>
          <w:b/>
        </w:rPr>
        <w:t>E. 3</w:t>
      </w:r>
    </w:p>
    <w:p>
      <w:r>
        <w:t>Il suit de ce qui précède que le recours doit ainsi être rejeté et la décision attaquée confirmée. Il est statué sans frais (cf. art. 30 al. 1 LAVI),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