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GE.2019.0256 vom 26. August 2020</w:t>
      </w:r>
    </w:p>
    <w:p>
      <w:r>
        <w:t>VD Tribunal cantonal, 2020-08-26, FR</w:t>
      </w:r>
    </w:p>
    <w:p>
      <w:r>
        <w:rPr>
          <w:b/>
        </w:rPr>
        <w:t xml:space="preserve">Quelle: </w:t>
      </w:r>
      <w:r>
        <w:t>https://mcp.opencaselaw.ch/entscheid/vd_omni_GE.2019.0256</w:t>
      </w:r>
    </w:p>
    <w:p>
      <w:r>
        <w:t>FR: VD_OMNI GE.2019.0256 du 26 août 2020</w:t>
      </w:r>
    </w:p>
    <w:p>
      <w:r>
        <w:t>IT: VD_OMNI GE.2019.0256 del 26 agosto 2020</w:t>
      </w:r>
    </w:p>
    <w:p>
      <w:pPr>
        <w:pStyle w:val="Heading2"/>
      </w:pPr>
      <w:r>
        <w:t>Regeste</w:t>
      </w:r>
    </w:p>
    <w:p>
      <w:r>
        <w:t>A.________/Cour administrative du Tribunal cantonal | Recours contre la décision de la Cour administrative interdisant au recourant de pratiquer la représentation professionnelle dans les procédures d'exécution forcée (art. 27 LP). En vertu du droit cantonal (LVLP), le "Tribunal cantonal" est compétent pour prononcer l'interdiction. Au sein du tribunal, cette compétence a été confiée à la Cour administrative. La LVLP ne prévoit pas de voie de recours contre une telle décision. Quant à la clause générale de compétence de la CDAP (art. 92 LPA-VD), elle est inapplicable puisque la décision entreprise n'émane pas d'une autorité administrative. En effet, la Cour administrative est une autorité judiciaire dont les décisions ne sont en principe pas susceptibles de recours devant la CDAP. Il en résulte l'irrecevabilité du recours, étant précisé qu'une double instance cantonale n'est pas imposée par le droit fédéral en la matière (consid. 1 à 3). A le supposer recevable, le recours aurait quoi qu'il en soit dû être rejeté (consid. 4). Recours déclaré irrecevable.</w:t>
      </w:r>
    </w:p>
    <w:p>
      <w:pPr>
        <w:pStyle w:val="Heading2"/>
      </w:pPr>
      <w:r>
        <w:t>Erwägungen</w:t>
      </w:r>
    </w:p>
    <w:p>
      <w:r>
        <w:rPr>
          <w:b/>
        </w:rPr>
        <w:t>E. 1</w:t>
      </w:r>
    </w:p>
    <w:p>
      <w:r>
        <w:t>Il convient préalablement d'examiner la compétence du tribunal, ce que celui-ci peut faire d'office (art. 6 de la loi du 28 octobre 2008 sur la procédure administrative [LPA-VD; BLV 173.36]). Le recourant ayant renoncé le 22 février 2019 à pratiquer la profession d'agent d'affaires breveté ( cf . art. 27 al. 1 LPAg), seule est litigieuse l'interdiction de pratiquer la représentation professionnelle en matière d'exécution forcée pour une durée illimitée, prononcée par la décision attaquée en application de l'art. 27 al. 1 LP.</w:t>
      </w:r>
    </w:p>
    <w:p>
      <w:r>
        <w:rPr>
          <w:b/>
        </w:rPr>
        <w:t>E. 2</w:t>
      </w:r>
    </w:p>
    <w:p>
      <w:r>
        <w:t>Cette dernière disposition, dans sa teneur en vigueur depuis le 1 er janvier 2018, dispose ce qui suit: " 1 Toute personne ayant l’exercice des droits civils est habilitée à représenter une autre personne dans une procédure d’exécution forcée. Cela vaut également pour la représentation professionnelle. Les cantons peuvent interdire la représentation professionnelle à une personne pour de justes motifs. " Selon l'art. 44 de la loi du 18 mai 1955 d'application dans le Canton de Vaud de la loi fédérale sur la poursuite pour dettes et la faillite (LVLP; BLV 280.05), le Tribunal cantonal est l'autorité compétente pour interdire la représentation professionnelle à une personne pour de justes motifs. L'art. 6 al. 1 let. d du règlement organique du Tribunal cantonal du 13 novembre 2007 (ROTC; BLV 173.31.1) confère cette compétence à la Cour administrative du Tribunal cantonal. Il n'est donc pas douteux que la Cour administrative était compétente pour rendre la décision attaquée, ce que le recourant ne conteste au demeurant pas.</w:t>
      </w:r>
    </w:p>
    <w:p>
      <w:r>
        <w:rPr>
          <w:b/>
        </w:rPr>
        <w:t>E. 3</w:t>
      </w:r>
    </w:p>
    <w:p>
      <w:r>
        <w:t>a) L'art. 44 LVLP ne prévoit pas de voie de recours contre la décision du Tribunal cantonal. Cela étant, il convient dès lors de déterminer si une telle voie de droit résulte de l'art. 92 al. 1 LPA-VD. A cet égard, les indications figurant au pied de la décision attaquée n'ont pas pour effet de créer un recours qui n'existe pas ( cf . ATF 120 V 497 consid. 1; 117 Ia 297; 100 Ib 119; TF C 266/03 du 12 mars 2004 consid. 3.1; arrêt CDAP GE.2010.0095 du 20 décembre 2010 consid. 1c). b) Selon l'art. 92 al .1 LPA-VD, le Tribunal cantonal connaît des recours contre les décisions et décisions sur recours rendues par les autorités administratives, lorsque la loi ne prévoit aucune autre autorité pour en connaître. L'art. 3 al. 1 LPA-VD définit la décision comme suit: " 1 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 En vertu de l'art. 4 LPA-VD, sont des autorités administratives, les organes du canton, des communes, des associations ou fédérations de communes et des agglomérations, ainsi que les personnes physiques ou morales, qui sont légalement habilitées à rendre des décisions. c) En l'espèce, la décision entreprise n'a pas été rendue par une autorité administrative au sens de l'art. 4 LPA-VD mais par la Cour administrative, qui est une autorité judiciaire dont les décisions ne sont en principe pas susceptibles de recours devant la CDAP. Les travaux parlementaires relatifs à la modification de l'art. 44 LVLVP, entré en vigueur le 1 er janvier 2018, soit en même temps que l'art. 27 LP modifié, ne fournissent aucun renseignement sur la volonté du législateur cantonal. Néanmoins, en conférant au Tribunal cantonal la compétence d'interdire la représentation à titre professionnel, le législateur a au moins implicitement exclu de confier cette compétence à un organe de l'administration cantonale ou à une autorité ad hoc dont la décision aurait été susceptible de recours à la CDAP en application de l'art. 92 al .1 LPA-VD. Au surplus, il n'apparaît pas qu'une voie de recours cantonale soit exigée par le droit fédéral, les décisions en application de la LP pouvant directement émaner d'un tribunal supérieur statuant comme autorité de surveillance ( cf . Bernard Corboz, Commentaire de la LTF, 2 e éd., Berne 2014, n. 27a ad art. 75 LTF et arrêt TF 5A_623/2008 du 29 octobre 2008 consid. 1.3). Tel est d'ailleurs le cas en droit vaudois, puisque le Tribunal cantonal est l'autorité supérieure de surveillance, compétent notamment pour prendre des sanctions disciplinaires à l'encontre des préposés ou employés (art. 14 al. 2 LP et art. 14 LVLP). d) Il résulte de ce qui précède que le recours est irrecevable.</w:t>
      </w:r>
    </w:p>
    <w:p>
      <w:r>
        <w:rPr>
          <w:b/>
        </w:rPr>
        <w:t>E. 4</w:t>
      </w:r>
    </w:p>
    <w:p>
      <w:r>
        <w:t>Supposé recevable, le recours n’en devrait pas moins être rejeté pour les motifs qui suivent. a) Le recourant reproche en substance à l'autorité intimée d'avoir établi les faits de manière manifestement inexacte en tenant pour établis, dans la procédure administrative, des faits en cours d'instruction au niveau pénal, procédé qui serait contraire à la sécurité du droit et à la présomption d'innocence. Ces mêmes principes auraient pourtant commandé la suspension de la procédure administrative jusqu'à droit connu au fond dans la procédure pénale. De surcroît, la mesure serait totalement disproportionnée, motif pris que l'intérêt public à la protection du public serait déjà garanti au vu de l'étroite surveillance pénale dont le recourant ferait l'objet. à l'inverse, le droit de représentation de l'art. 27 LP, auquel la décision entreprise porterait atteinte, serait particulièrement important puisque le législateur n'aurait pas fixé de conditions à son exercice et que l'on serait en quelque sorte en présence d'un " droit universel " à la représentation professionnelle en matière d'exécution forcée. b) L'art. 27 al. 1 LP habilite l'autorité intimée à interdire la représentation professionnelle à une personne pour de justes motifs. Comme mentionné par l'autorité intimée, une telle interdiction peut être prononcée lorsque l'intérêt public le commande, par exemple lorsque le représentant commet des abus ou qu'il ne dispose pas des qualifications nécessaires (Daniel Staehlin, Basler Kommentar SchKG, Ergänzungsband zur 2. Auflage, 2017, lit. e ad art. 27 SchKG; v. ég. Exposé des motifs et projet de loi [EMPL] modifiant la LVLP, BGC 2012-2017, tome 21, novembre-décembre 2016, p. 438). c) Lorsqu'une personne est à la fois menacée par une sanction administrative et une peine pénale, le prononcé de la première peut intervenir sans égard au prononcé de la seconde, et inversement. En principe cependant, l'autorité administrative doit surseoir à statuer jusqu'à droit connu sur le plan pénal, dans la mesure où l'état de fait ou la qualification juridique du comportement litigieux sont pertinents dans le cadre de la procédure administrative ( cf . ATF 121 II 214 consid. 3a; ég. ATF 136 II 447 consid. 3.1 et arrêt TF 2C_782/2015 du 19 janvier 2016 consid. 3.2 et les références citées). Cette solution se justifie eu égard aux moyens d'investigation et des garanties plus étendues de de la justice pénale ( cf . arrêt TF 2C_782/2015 précité consid. 3.2). Cela étant, l'autorité administrative n'a pas à surseoir lorsqu'il n'existe aucun doute quant à la (non-) réalisation des conditions de l'infraction pénale ( Ibidem ). d) à l'occasion des deux auditions des 11 mai et 5 juin 2019 ( cf . lettre F. ci-dessus), le recourant a admis n'avoir pas reversé à certains clients des montants prélevés après la clôture de dossiers et reconnu avoir ainsi été payé à double, sans que les intéressés n'en soient informés. De même, il a admis qu'il continuait, dans son propre intérêt, à se prévaloir de mandats qui avaient pourtant pris fin. Ces faits sont par conséquent établis à satisfaction et suffisent à sceller le sort du recours, sans qu'il soit besoin d'attendre l'issue de la procédure pénale concernant les multiples autres comportements pénalement reprochés à l'intéressé. Tout mandataire, fût-ce le représentant professionnel au sens de l'art. 27 LP, est en effet soumis aux obligations qui découlent des art. 397 ss CO, singulièrement les devoirs de diligence, d'information et de conseil, ainsi que les obligations de fidélité et de reddition de compte. Or, les comportements reconnus par le recourant sont manifestement abusifs, dans la mesure où ils constituent des violations crasses et délibérées de ses obligations envers ses clients, quel que puisse être le sort de l'action pénale sur ce point. e) S'agissant du principe de la proportionnalité, c'est à bon droit que l'autorité intimée a considéré que l'intérêt public à la protection du public devait l'emporter sur l'intérêt privé du recourant à exercer la représentation professionnelle. Pour les motifs déjà exposés, il est établi que l'intéressé a commis de graves abus dans ce cadre, de sorte que l'intérêt à la protection du public l'emporte à l'évidence sur son intérêt à pratiquer la représentation litigieuse. Cette appréciation est d'autant plus fondée que si son activité d'agent d'affaires breveté ne fait certes pas l'objet de la présente procédure, il ressort néanmoins du dossier que, en 2016, il avait déjà été sanctionné d'un blâme et d'une amende pour des pratiques non conformes à la profession ( cf . lettre B ci-dessus). Au vu de la persistance des comportements du recourant, son intérêt privé à poursuivre la représentation professionnelle doit être largement relativisé. Au surplus, la représentation de l'art. 27 LP ne concerne qu'un domaine d'activité restreint (procédures d'exécution forcée), d'une part, et la décision entreprise ne porte qu'une atteinte très limitée à la liberté économique du recourant, d'autre part, ce qu'il ne conteste au demeurant plus dans la présente procédure. f) Pour ces motifs et à le supposer recevable, le recours aurait ainsi dû être rejeté et la décision attaquée confirmée.</w:t>
      </w:r>
    </w:p>
    <w:p>
      <w:r>
        <w:rPr>
          <w:b/>
        </w:rPr>
        <w:t>E. 5</w:t>
      </w:r>
    </w:p>
    <w:p>
      <w:r>
        <w:t>Vu les circonstances particulières du cas, il se justifie de renoncer à percevoir un émolument judiciaire (art. 50 LPA-VD). Il n'y a par ailleurs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